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30809" w14:textId="77777777" w:rsidR="00456CA1" w:rsidRPr="00F0236F" w:rsidRDefault="00456CA1" w:rsidP="00456CA1">
      <w:pPr>
        <w:rPr>
          <w:rFonts w:ascii="Aptos" w:hAnsi="Aptos" w:cs="Calibri"/>
          <w:color w:val="C6057B"/>
          <w:sz w:val="32"/>
          <w:szCs w:val="32"/>
          <w:lang w:val="en-US"/>
        </w:rPr>
      </w:pPr>
      <w:r w:rsidRPr="00F0236F">
        <w:rPr>
          <w:rFonts w:ascii="Aptos" w:hAnsi="Aptos" w:cs="Calibri"/>
          <w:color w:val="C6057B"/>
          <w:sz w:val="32"/>
          <w:szCs w:val="32"/>
          <w:lang w:val="en-US"/>
        </w:rPr>
        <w:t xml:space="preserve">Submission on Mental Health </w:t>
      </w:r>
      <w:r w:rsidR="004906CC">
        <w:rPr>
          <w:rFonts w:ascii="Aptos" w:hAnsi="Aptos" w:cs="Calibri"/>
          <w:color w:val="C6057B"/>
          <w:sz w:val="32"/>
          <w:szCs w:val="32"/>
          <w:lang w:val="en-US"/>
        </w:rPr>
        <w:t xml:space="preserve">Non-Government </w:t>
      </w:r>
      <w:proofErr w:type="spellStart"/>
      <w:r w:rsidR="004906CC">
        <w:rPr>
          <w:rFonts w:ascii="Aptos" w:hAnsi="Aptos" w:cs="Calibri"/>
          <w:color w:val="C6057B"/>
          <w:sz w:val="32"/>
          <w:szCs w:val="32"/>
          <w:lang w:val="en-US"/>
        </w:rPr>
        <w:t>Organisation</w:t>
      </w:r>
      <w:proofErr w:type="spellEnd"/>
      <w:r w:rsidR="004906CC">
        <w:rPr>
          <w:rFonts w:ascii="Aptos" w:hAnsi="Aptos" w:cs="Calibri"/>
          <w:color w:val="C6057B"/>
          <w:sz w:val="32"/>
          <w:szCs w:val="32"/>
          <w:lang w:val="en-US"/>
        </w:rPr>
        <w:t xml:space="preserve"> (</w:t>
      </w:r>
      <w:r w:rsidRPr="00F0236F">
        <w:rPr>
          <w:rFonts w:ascii="Aptos" w:hAnsi="Aptos" w:cs="Calibri"/>
          <w:color w:val="C6057B"/>
          <w:sz w:val="32"/>
          <w:szCs w:val="32"/>
          <w:lang w:val="en-US"/>
        </w:rPr>
        <w:t>NGO</w:t>
      </w:r>
      <w:r w:rsidR="004906CC">
        <w:rPr>
          <w:rFonts w:ascii="Aptos" w:hAnsi="Aptos" w:cs="Calibri"/>
          <w:color w:val="C6057B"/>
          <w:sz w:val="32"/>
          <w:szCs w:val="32"/>
          <w:lang w:val="en-US"/>
        </w:rPr>
        <w:t>)</w:t>
      </w:r>
      <w:r w:rsidRPr="00F0236F">
        <w:rPr>
          <w:rFonts w:ascii="Aptos" w:hAnsi="Aptos" w:cs="Calibri"/>
          <w:color w:val="C6057B"/>
          <w:sz w:val="32"/>
          <w:szCs w:val="32"/>
          <w:lang w:val="en-US"/>
        </w:rPr>
        <w:t xml:space="preserve"> Commissioning </w:t>
      </w:r>
    </w:p>
    <w:p w14:paraId="5157F8B7" w14:textId="77777777" w:rsidR="00456CA1" w:rsidRPr="007F3289" w:rsidRDefault="00456CA1" w:rsidP="00456CA1">
      <w:pPr>
        <w:rPr>
          <w:rFonts w:ascii="Aptos" w:hAnsi="Aptos" w:cs="Calibri"/>
          <w:color w:val="C6057B"/>
          <w:sz w:val="32"/>
          <w:szCs w:val="32"/>
          <w:lang w:val="en-US"/>
        </w:rPr>
      </w:pPr>
      <w:r w:rsidRPr="007F3289">
        <w:rPr>
          <w:rFonts w:ascii="Aptos" w:hAnsi="Aptos" w:cs="Calibri"/>
          <w:color w:val="C6057B"/>
          <w:sz w:val="32"/>
          <w:szCs w:val="32"/>
          <w:lang w:val="en-US"/>
        </w:rPr>
        <w:t>20 June 2025</w:t>
      </w:r>
    </w:p>
    <w:p w14:paraId="36ED6E35" w14:textId="77777777" w:rsidR="00A024DE" w:rsidRDefault="00A024DE" w:rsidP="00BC0479">
      <w:pPr>
        <w:ind w:left="567" w:hanging="567"/>
        <w:jc w:val="both"/>
        <w:rPr>
          <w:rFonts w:cs="Calibri"/>
          <w:b/>
          <w:bCs/>
          <w:color w:val="000000" w:themeColor="text1"/>
          <w:sz w:val="22"/>
          <w:szCs w:val="22"/>
        </w:rPr>
      </w:pPr>
    </w:p>
    <w:p w14:paraId="4DA9A60B" w14:textId="77777777" w:rsidR="00905C84" w:rsidRPr="00A024DE" w:rsidRDefault="00905C84" w:rsidP="00BC0479">
      <w:pPr>
        <w:ind w:left="567" w:hanging="567"/>
        <w:jc w:val="both"/>
        <w:rPr>
          <w:rFonts w:cs="Calibri"/>
          <w:b/>
          <w:bCs/>
          <w:color w:val="000000" w:themeColor="text1"/>
          <w:sz w:val="22"/>
          <w:szCs w:val="22"/>
        </w:rPr>
      </w:pPr>
      <w:r w:rsidRPr="00A024DE">
        <w:rPr>
          <w:rFonts w:cs="Calibri"/>
          <w:b/>
          <w:bCs/>
          <w:color w:val="000000" w:themeColor="text1"/>
          <w:sz w:val="22"/>
          <w:szCs w:val="22"/>
        </w:rPr>
        <w:t>Acknowledgement of Country</w:t>
      </w:r>
    </w:p>
    <w:p w14:paraId="0053D615" w14:textId="77777777" w:rsidR="00667D7C" w:rsidRDefault="00667D7C" w:rsidP="00667D7C">
      <w:pPr>
        <w:rPr>
          <w:rFonts w:cs="Calibri"/>
          <w:sz w:val="22"/>
          <w:szCs w:val="22"/>
        </w:rPr>
      </w:pPr>
      <w:r w:rsidRPr="009559B2">
        <w:rPr>
          <w:rFonts w:cs="Calibri"/>
          <w:sz w:val="22"/>
          <w:szCs w:val="22"/>
        </w:rPr>
        <w:t>Women's Health Matters acknowledges Aboriginal and Torres Strait Islander peoples as the traditional custodians of the land on which we live and work. We recognise the</w:t>
      </w:r>
      <w:r w:rsidR="00B90A01" w:rsidRPr="009559B2">
        <w:rPr>
          <w:rFonts w:cs="Calibri"/>
          <w:sz w:val="22"/>
          <w:szCs w:val="22"/>
        </w:rPr>
        <w:t xml:space="preserve">se </w:t>
      </w:r>
      <w:r w:rsidRPr="009559B2">
        <w:rPr>
          <w:rFonts w:cs="Calibri"/>
          <w:sz w:val="22"/>
          <w:szCs w:val="22"/>
        </w:rPr>
        <w:t>cultures as among the oldest living cultures in human history and pay our respects to Elders past and present.</w:t>
      </w:r>
      <w:r w:rsidR="000628F9" w:rsidRPr="009559B2">
        <w:rPr>
          <w:rFonts w:cs="Calibri"/>
          <w:sz w:val="22"/>
          <w:szCs w:val="22"/>
        </w:rPr>
        <w:t xml:space="preserve"> </w:t>
      </w:r>
      <w:r w:rsidRPr="009559B2">
        <w:rPr>
          <w:rFonts w:cs="Calibri"/>
          <w:sz w:val="22"/>
          <w:szCs w:val="22"/>
        </w:rPr>
        <w:t>We acknowledge the history of dispossession and its ongoing impact on Aboriginal and Torres Strait Islander communities. We particularly recognise the strength, resilience, and wisdom of Aboriginal and Torres Strait Islander women, and honour their continuing connection and contribution to Country, community, and culture.</w:t>
      </w:r>
      <w:r w:rsidR="004B2B6A" w:rsidRPr="009559B2">
        <w:rPr>
          <w:rFonts w:cs="Calibri"/>
          <w:sz w:val="22"/>
          <w:szCs w:val="22"/>
        </w:rPr>
        <w:t xml:space="preserve"> </w:t>
      </w:r>
      <w:r w:rsidRPr="009559B2">
        <w:rPr>
          <w:rFonts w:cs="Calibri"/>
          <w:sz w:val="22"/>
          <w:szCs w:val="22"/>
        </w:rPr>
        <w:t>We are committed to walking alongside Aboriginal and Torres Strait Islander peoples in our shared journey toward health equity and justice.</w:t>
      </w:r>
      <w:r w:rsidR="0062718F" w:rsidRPr="009559B2">
        <w:rPr>
          <w:rFonts w:cs="Calibri"/>
          <w:sz w:val="22"/>
          <w:szCs w:val="22"/>
        </w:rPr>
        <w:t xml:space="preserve"> </w:t>
      </w:r>
      <w:r w:rsidRPr="009559B2">
        <w:rPr>
          <w:rFonts w:cs="Calibri"/>
          <w:sz w:val="22"/>
          <w:szCs w:val="22"/>
        </w:rPr>
        <w:t>This land always was, and always will be, Aboriginal land.</w:t>
      </w:r>
    </w:p>
    <w:p w14:paraId="2B488E31" w14:textId="77777777" w:rsidR="00B904F6" w:rsidRPr="009559B2" w:rsidRDefault="00B904F6" w:rsidP="00667D7C">
      <w:pPr>
        <w:rPr>
          <w:rFonts w:cs="Calibri"/>
          <w:sz w:val="22"/>
          <w:szCs w:val="22"/>
        </w:rPr>
      </w:pPr>
    </w:p>
    <w:p w14:paraId="1983A7E0" w14:textId="77777777" w:rsidR="00830BB9" w:rsidRPr="00A024DE" w:rsidRDefault="001F2EC5" w:rsidP="00BC0479">
      <w:pPr>
        <w:ind w:left="567" w:hanging="567"/>
        <w:jc w:val="both"/>
        <w:rPr>
          <w:rFonts w:cs="Calibri"/>
          <w:b/>
          <w:bCs/>
          <w:color w:val="000000" w:themeColor="text1"/>
          <w:sz w:val="22"/>
          <w:szCs w:val="22"/>
        </w:rPr>
      </w:pPr>
      <w:r w:rsidRPr="00A024DE">
        <w:rPr>
          <w:rFonts w:cs="Calibri"/>
          <w:b/>
          <w:bCs/>
          <w:color w:val="000000" w:themeColor="text1"/>
          <w:sz w:val="22"/>
          <w:szCs w:val="22"/>
        </w:rPr>
        <w:t>About Women’s Health Matters</w:t>
      </w:r>
    </w:p>
    <w:p w14:paraId="6ACBF578" w14:textId="77777777" w:rsidR="001F2EC5" w:rsidRPr="009559B2" w:rsidRDefault="001F2EC5" w:rsidP="001F2EC5">
      <w:pPr>
        <w:rPr>
          <w:rFonts w:cs="Calibri"/>
          <w:b/>
          <w:bCs/>
          <w:sz w:val="22"/>
          <w:szCs w:val="22"/>
        </w:rPr>
      </w:pPr>
      <w:r w:rsidRPr="009559B2">
        <w:rPr>
          <w:rFonts w:cs="Calibri"/>
          <w:sz w:val="22"/>
          <w:szCs w:val="22"/>
        </w:rPr>
        <w:t xml:space="preserve">Women’s Health Matters </w:t>
      </w:r>
      <w:r w:rsidR="00BD02FF">
        <w:rPr>
          <w:rFonts w:cs="Calibri"/>
          <w:sz w:val="22"/>
          <w:szCs w:val="22"/>
        </w:rPr>
        <w:t xml:space="preserve">(WHM) </w:t>
      </w:r>
      <w:r w:rsidRPr="009559B2">
        <w:rPr>
          <w:rFonts w:cs="Calibri"/>
          <w:sz w:val="22"/>
          <w:szCs w:val="22"/>
        </w:rPr>
        <w:t>is an independent, non-partisan organisation that works to improve the health and wellbeing of all women in the ACT and surrounding region. We seek to improve access to health information and enhance knowledge and understanding about the determinants of health and illness among anyone who identifies as a woman.</w:t>
      </w:r>
    </w:p>
    <w:p w14:paraId="2D94E62B" w14:textId="77777777" w:rsidR="001F2EC5" w:rsidRDefault="001F2EC5" w:rsidP="001F2EC5">
      <w:pPr>
        <w:rPr>
          <w:rFonts w:cs="Calibri"/>
          <w:sz w:val="22"/>
          <w:szCs w:val="22"/>
        </w:rPr>
      </w:pPr>
      <w:r w:rsidRPr="009559B2">
        <w:rPr>
          <w:rFonts w:cs="Calibri"/>
          <w:sz w:val="22"/>
          <w:szCs w:val="22"/>
        </w:rPr>
        <w:t>We advocate on behalf of all ACT women, especially those experiencing disadvantage and vulnerability. We want women to feel in control of and understand the determinants of their own health and wellbeing. We do this through health promotion and by providing evidence-based social research, policy development and advocacy services to governments, the corporate sector, policy makers, service providers and peak bodies.</w:t>
      </w:r>
    </w:p>
    <w:p w14:paraId="444ED6EA" w14:textId="77777777" w:rsidR="00B904F6" w:rsidRPr="009559B2" w:rsidRDefault="00B904F6" w:rsidP="00BC0479">
      <w:pPr>
        <w:ind w:left="567" w:hanging="567"/>
        <w:jc w:val="both"/>
        <w:rPr>
          <w:rFonts w:cs="Calibri"/>
          <w:sz w:val="22"/>
          <w:szCs w:val="22"/>
          <w:lang w:val="en-US"/>
        </w:rPr>
      </w:pPr>
    </w:p>
    <w:p w14:paraId="1F9799F0" w14:textId="77777777" w:rsidR="00456CA1" w:rsidRPr="00A024DE" w:rsidRDefault="00456CA1" w:rsidP="00456CA1">
      <w:pPr>
        <w:ind w:left="567" w:hanging="567"/>
        <w:jc w:val="both"/>
        <w:rPr>
          <w:rFonts w:cs="Calibri"/>
          <w:b/>
          <w:bCs/>
          <w:color w:val="000000" w:themeColor="text1"/>
          <w:sz w:val="22"/>
          <w:szCs w:val="22"/>
        </w:rPr>
      </w:pPr>
      <w:r w:rsidRPr="00A024DE">
        <w:rPr>
          <w:rFonts w:cs="Calibri"/>
          <w:b/>
          <w:bCs/>
          <w:color w:val="000000" w:themeColor="text1"/>
          <w:sz w:val="22"/>
          <w:szCs w:val="22"/>
        </w:rPr>
        <w:t>Our Submission</w:t>
      </w:r>
    </w:p>
    <w:p w14:paraId="15F9583E" w14:textId="77777777" w:rsidR="00456CA1" w:rsidRPr="009559B2" w:rsidRDefault="00456CA1" w:rsidP="00456CA1">
      <w:pPr>
        <w:jc w:val="both"/>
        <w:rPr>
          <w:rFonts w:cs="Calibri"/>
          <w:sz w:val="22"/>
          <w:szCs w:val="22"/>
        </w:rPr>
      </w:pPr>
      <w:r w:rsidRPr="009559B2">
        <w:rPr>
          <w:rFonts w:cs="Calibri"/>
          <w:sz w:val="22"/>
          <w:szCs w:val="22"/>
        </w:rPr>
        <w:t xml:space="preserve">WHM welcomes the opportunity to provide input to the consultation on mental health </w:t>
      </w:r>
      <w:r w:rsidR="006F2CEA">
        <w:rPr>
          <w:rFonts w:cs="Calibri"/>
          <w:sz w:val="22"/>
          <w:szCs w:val="22"/>
        </w:rPr>
        <w:t>non-government organisation (</w:t>
      </w:r>
      <w:r w:rsidR="00D07EC4">
        <w:rPr>
          <w:rFonts w:cs="Calibri"/>
          <w:sz w:val="22"/>
          <w:szCs w:val="22"/>
        </w:rPr>
        <w:t>NGO</w:t>
      </w:r>
      <w:r w:rsidR="006F2CEA">
        <w:rPr>
          <w:rFonts w:cs="Calibri"/>
          <w:sz w:val="22"/>
          <w:szCs w:val="22"/>
        </w:rPr>
        <w:t>)</w:t>
      </w:r>
      <w:r w:rsidRPr="009559B2">
        <w:rPr>
          <w:rFonts w:cs="Calibri"/>
          <w:sz w:val="22"/>
          <w:szCs w:val="22"/>
        </w:rPr>
        <w:t xml:space="preserve"> commissioning for the ACT. </w:t>
      </w:r>
    </w:p>
    <w:p w14:paraId="19BB0403" w14:textId="77777777" w:rsidR="00456CA1" w:rsidRPr="009559B2" w:rsidRDefault="00456CA1" w:rsidP="00456CA1">
      <w:pPr>
        <w:jc w:val="both"/>
        <w:rPr>
          <w:rFonts w:cs="Calibri"/>
          <w:sz w:val="22"/>
          <w:szCs w:val="22"/>
        </w:rPr>
      </w:pPr>
      <w:r w:rsidRPr="009559B2">
        <w:rPr>
          <w:rFonts w:cs="Calibri"/>
          <w:sz w:val="22"/>
          <w:szCs w:val="22"/>
        </w:rPr>
        <w:t xml:space="preserve">Our recommendations focus on two areas of opportunity. The first is the opportunity to use commissioning to work towards a strong and responsive local service system, while situating commissioning within </w:t>
      </w:r>
      <w:proofErr w:type="gramStart"/>
      <w:r w:rsidRPr="009559B2">
        <w:rPr>
          <w:rFonts w:cs="Calibri"/>
          <w:sz w:val="22"/>
          <w:szCs w:val="22"/>
        </w:rPr>
        <w:t>a sound evidence</w:t>
      </w:r>
      <w:proofErr w:type="gramEnd"/>
      <w:r w:rsidRPr="009559B2">
        <w:rPr>
          <w:rFonts w:cs="Calibri"/>
          <w:sz w:val="22"/>
          <w:szCs w:val="22"/>
        </w:rPr>
        <w:t xml:space="preserve"> base and a clear understanding of its context. This area of opportunity has been identified by other organisations in the mental health sector. </w:t>
      </w:r>
    </w:p>
    <w:p w14:paraId="3695B77D" w14:textId="77777777" w:rsidR="00456CA1" w:rsidRPr="009559B2" w:rsidRDefault="00456CA1" w:rsidP="00456CA1">
      <w:pPr>
        <w:jc w:val="both"/>
        <w:rPr>
          <w:rFonts w:cs="Calibri"/>
          <w:sz w:val="22"/>
          <w:szCs w:val="22"/>
        </w:rPr>
      </w:pPr>
      <w:r w:rsidRPr="009559B2">
        <w:rPr>
          <w:rFonts w:cs="Calibri"/>
          <w:sz w:val="22"/>
          <w:szCs w:val="22"/>
        </w:rPr>
        <w:lastRenderedPageBreak/>
        <w:t xml:space="preserve">While our work touches on mental health through our community research, health education and advocacy, WHM does not provide mental health services, and does not receive (or seek to obtain) funding from the ACT Government programs involved in this commissioning. However, we have a strong interest in supporting local service systems that are important for women’s health, and the local mental health sector is one such area. </w:t>
      </w:r>
    </w:p>
    <w:p w14:paraId="28AD0C6E" w14:textId="77777777" w:rsidR="00456CA1" w:rsidRDefault="00456CA1" w:rsidP="00456CA1">
      <w:pPr>
        <w:jc w:val="both"/>
        <w:rPr>
          <w:rFonts w:cs="Calibri"/>
          <w:sz w:val="22"/>
          <w:szCs w:val="22"/>
        </w:rPr>
      </w:pPr>
      <w:r w:rsidRPr="009559B2">
        <w:rPr>
          <w:rFonts w:cs="Calibri"/>
          <w:sz w:val="22"/>
          <w:szCs w:val="22"/>
        </w:rPr>
        <w:t xml:space="preserve">The second area in which our recommendations are focused is more directly related to our role. This is the opportunity to strengthen mental health policy and service </w:t>
      </w:r>
      <w:proofErr w:type="gramStart"/>
      <w:r w:rsidRPr="009559B2">
        <w:rPr>
          <w:rFonts w:cs="Calibri"/>
          <w:sz w:val="22"/>
          <w:szCs w:val="22"/>
        </w:rPr>
        <w:t>delivery</w:t>
      </w:r>
      <w:proofErr w:type="gramEnd"/>
      <w:r w:rsidRPr="009559B2">
        <w:rPr>
          <w:rFonts w:cs="Calibri"/>
          <w:sz w:val="22"/>
          <w:szCs w:val="22"/>
        </w:rPr>
        <w:t xml:space="preserve"> so these respond to the evolving evidence and insights about the mental health experiences of women. Through our community research, health education and outreach we have unique access to a strong evidence base, which we draw on here to help inform the commissioning process, and mental health policy and services more generally.</w:t>
      </w:r>
    </w:p>
    <w:p w14:paraId="11C29F85" w14:textId="77777777" w:rsidR="00B904F6" w:rsidRPr="009559B2" w:rsidRDefault="00B904F6" w:rsidP="00456CA1">
      <w:pPr>
        <w:jc w:val="both"/>
        <w:rPr>
          <w:rFonts w:cs="Calibri"/>
          <w:sz w:val="22"/>
          <w:szCs w:val="22"/>
        </w:rPr>
      </w:pPr>
    </w:p>
    <w:p w14:paraId="726E76B2" w14:textId="77777777" w:rsidR="00FF423C" w:rsidRPr="00A024DE" w:rsidRDefault="00BC0479" w:rsidP="00FF423C">
      <w:pPr>
        <w:ind w:left="567" w:hanging="567"/>
        <w:jc w:val="both"/>
        <w:rPr>
          <w:rFonts w:cs="Calibri"/>
          <w:b/>
          <w:bCs/>
          <w:color w:val="000000" w:themeColor="text1"/>
          <w:sz w:val="22"/>
          <w:szCs w:val="22"/>
        </w:rPr>
      </w:pPr>
      <w:r w:rsidRPr="00A024DE">
        <w:rPr>
          <w:rFonts w:cs="Calibri"/>
          <w:b/>
          <w:bCs/>
          <w:color w:val="000000" w:themeColor="text1"/>
          <w:sz w:val="22"/>
          <w:szCs w:val="22"/>
        </w:rPr>
        <w:t>Summary of Recommendations</w:t>
      </w:r>
    </w:p>
    <w:p w14:paraId="12CC9283" w14:textId="77777777" w:rsidR="00FF423C" w:rsidRPr="00A024DE" w:rsidRDefault="00FF423C" w:rsidP="00FF423C">
      <w:pPr>
        <w:spacing w:line="279" w:lineRule="auto"/>
        <w:jc w:val="both"/>
        <w:rPr>
          <w:rFonts w:ascii="Aptos" w:hAnsi="Aptos" w:cs="Calibri"/>
          <w:sz w:val="22"/>
          <w:szCs w:val="22"/>
        </w:rPr>
      </w:pPr>
      <w:r w:rsidRPr="00FF423C">
        <w:rPr>
          <w:rFonts w:ascii="Aptos" w:hAnsi="Aptos" w:cs="Calibri"/>
          <w:sz w:val="22"/>
          <w:szCs w:val="22"/>
        </w:rPr>
        <w:t xml:space="preserve">We recommend that the ACT Government: </w:t>
      </w:r>
    </w:p>
    <w:p w14:paraId="4D1D6B34" w14:textId="77777777" w:rsidR="00F02CC0" w:rsidRPr="00A024DE" w:rsidRDefault="00F02CC0" w:rsidP="00F02CC0">
      <w:pPr>
        <w:pStyle w:val="ListParagraph"/>
        <w:numPr>
          <w:ilvl w:val="0"/>
          <w:numId w:val="7"/>
        </w:numPr>
        <w:spacing w:line="279" w:lineRule="auto"/>
        <w:jc w:val="both"/>
        <w:rPr>
          <w:rFonts w:ascii="Aptos" w:hAnsi="Aptos" w:cs="Calibri"/>
          <w:sz w:val="22"/>
          <w:szCs w:val="22"/>
        </w:rPr>
      </w:pPr>
      <w:r w:rsidRPr="00A024DE">
        <w:rPr>
          <w:rFonts w:ascii="Aptos" w:hAnsi="Aptos" w:cs="Calibri"/>
          <w:sz w:val="22"/>
          <w:szCs w:val="22"/>
        </w:rPr>
        <w:t>Use commissioning to fund local organisations that are demonstrating their effectiveness in addressing areas of need.</w:t>
      </w:r>
    </w:p>
    <w:p w14:paraId="7CA68BE5" w14:textId="77777777" w:rsidR="002512BA" w:rsidRPr="00A024DE" w:rsidRDefault="002512BA" w:rsidP="002512BA">
      <w:pPr>
        <w:pStyle w:val="ListParagraph"/>
        <w:spacing w:line="279" w:lineRule="auto"/>
        <w:jc w:val="both"/>
        <w:rPr>
          <w:rFonts w:ascii="Aptos" w:hAnsi="Aptos" w:cs="Calibri"/>
          <w:sz w:val="22"/>
          <w:szCs w:val="22"/>
        </w:rPr>
      </w:pPr>
    </w:p>
    <w:p w14:paraId="1C51C083" w14:textId="77777777" w:rsidR="00F02CC0" w:rsidRPr="00A024DE" w:rsidRDefault="00F02CC0" w:rsidP="00F02CC0">
      <w:pPr>
        <w:pStyle w:val="ListParagraph"/>
        <w:numPr>
          <w:ilvl w:val="0"/>
          <w:numId w:val="7"/>
        </w:numPr>
        <w:spacing w:line="279" w:lineRule="auto"/>
        <w:jc w:val="both"/>
        <w:rPr>
          <w:rFonts w:ascii="Aptos" w:hAnsi="Aptos" w:cs="Calibri"/>
          <w:sz w:val="22"/>
          <w:szCs w:val="22"/>
        </w:rPr>
      </w:pPr>
      <w:r w:rsidRPr="00A024DE">
        <w:rPr>
          <w:rFonts w:ascii="Aptos" w:hAnsi="Aptos" w:cs="Calibri"/>
          <w:sz w:val="22"/>
          <w:szCs w:val="22"/>
        </w:rPr>
        <w:t>Define the key concepts of commissioning clearly (i.e. streams, pillars, tranches and outcomes) and deploy these in the commissioning process in a way that is logical and not onerous for organisations seeking funding.</w:t>
      </w:r>
    </w:p>
    <w:p w14:paraId="07531FDC" w14:textId="77777777" w:rsidR="002512BA" w:rsidRPr="00A024DE" w:rsidRDefault="002512BA" w:rsidP="002512BA">
      <w:pPr>
        <w:pStyle w:val="ListParagraph"/>
        <w:spacing w:line="279" w:lineRule="auto"/>
        <w:jc w:val="both"/>
        <w:rPr>
          <w:rFonts w:ascii="Aptos" w:hAnsi="Aptos" w:cs="Calibri"/>
          <w:sz w:val="22"/>
          <w:szCs w:val="22"/>
        </w:rPr>
      </w:pPr>
    </w:p>
    <w:p w14:paraId="1AF9EC3A" w14:textId="77777777" w:rsidR="00F02CC0" w:rsidRPr="00A024DE" w:rsidRDefault="00F02CC0" w:rsidP="00F02CC0">
      <w:pPr>
        <w:pStyle w:val="ListParagraph"/>
        <w:numPr>
          <w:ilvl w:val="0"/>
          <w:numId w:val="7"/>
        </w:numPr>
        <w:spacing w:line="279" w:lineRule="auto"/>
        <w:jc w:val="both"/>
        <w:rPr>
          <w:rFonts w:ascii="Aptos" w:hAnsi="Aptos" w:cs="Calibri"/>
          <w:sz w:val="22"/>
          <w:szCs w:val="22"/>
        </w:rPr>
      </w:pPr>
      <w:r w:rsidRPr="00A024DE">
        <w:rPr>
          <w:rFonts w:ascii="Aptos" w:hAnsi="Aptos" w:cs="Calibri"/>
          <w:sz w:val="22"/>
          <w:szCs w:val="22"/>
        </w:rPr>
        <w:t>Map the broader context of service provision and support systems beyond this commissioning to identify opportunities and prioritise areas for NGO funding</w:t>
      </w:r>
      <w:r w:rsidR="000D63E0">
        <w:rPr>
          <w:rFonts w:ascii="Aptos" w:hAnsi="Aptos" w:cs="Calibri"/>
          <w:sz w:val="22"/>
          <w:szCs w:val="22"/>
        </w:rPr>
        <w:t>.</w:t>
      </w:r>
      <w:r w:rsidRPr="00A024DE">
        <w:rPr>
          <w:rFonts w:ascii="Aptos" w:hAnsi="Aptos" w:cs="Calibri"/>
          <w:sz w:val="22"/>
          <w:szCs w:val="22"/>
        </w:rPr>
        <w:t xml:space="preserve"> </w:t>
      </w:r>
    </w:p>
    <w:p w14:paraId="00E8347B" w14:textId="77777777" w:rsidR="002512BA" w:rsidRPr="00A024DE" w:rsidRDefault="002512BA" w:rsidP="002512BA">
      <w:pPr>
        <w:pStyle w:val="ListParagraph"/>
        <w:spacing w:line="279" w:lineRule="auto"/>
        <w:jc w:val="both"/>
        <w:rPr>
          <w:rFonts w:ascii="Aptos" w:hAnsi="Aptos" w:cs="Calibri"/>
          <w:color w:val="000000" w:themeColor="text1"/>
        </w:rPr>
      </w:pPr>
    </w:p>
    <w:p w14:paraId="67320A21" w14:textId="77777777" w:rsidR="00F02CC0" w:rsidRPr="00A024DE" w:rsidRDefault="00F02CC0" w:rsidP="00F02CC0">
      <w:pPr>
        <w:pStyle w:val="ListParagraph"/>
        <w:numPr>
          <w:ilvl w:val="0"/>
          <w:numId w:val="7"/>
        </w:numPr>
        <w:spacing w:line="279" w:lineRule="auto"/>
        <w:jc w:val="both"/>
        <w:rPr>
          <w:rFonts w:ascii="Aptos" w:hAnsi="Aptos" w:cs="Calibri"/>
          <w:color w:val="000000" w:themeColor="text1"/>
        </w:rPr>
      </w:pPr>
      <w:r w:rsidRPr="00A024DE">
        <w:rPr>
          <w:rFonts w:ascii="Aptos" w:hAnsi="Aptos" w:cs="Calibri"/>
          <w:color w:val="000000" w:themeColor="text1"/>
          <w:sz w:val="22"/>
          <w:szCs w:val="22"/>
        </w:rPr>
        <w:t>Wherever possible in the process of commissioning, incorporate learning from research, lived experience and policy development that addresses gendered dimensions of mental health</w:t>
      </w:r>
      <w:r w:rsidR="000D63E0">
        <w:rPr>
          <w:rFonts w:ascii="Aptos" w:hAnsi="Aptos" w:cs="Calibri"/>
          <w:color w:val="000000" w:themeColor="text1"/>
          <w:sz w:val="22"/>
          <w:szCs w:val="22"/>
        </w:rPr>
        <w:t>.</w:t>
      </w:r>
    </w:p>
    <w:p w14:paraId="05BB7DB8" w14:textId="77777777" w:rsidR="002512BA" w:rsidRPr="00A024DE" w:rsidRDefault="002512BA" w:rsidP="002512BA">
      <w:pPr>
        <w:pStyle w:val="ListParagraph"/>
        <w:spacing w:line="279" w:lineRule="auto"/>
        <w:jc w:val="both"/>
        <w:rPr>
          <w:rFonts w:ascii="Aptos" w:hAnsi="Aptos" w:cs="Calibri"/>
          <w:color w:val="000000" w:themeColor="text1"/>
        </w:rPr>
      </w:pPr>
    </w:p>
    <w:p w14:paraId="04D29FBD" w14:textId="77777777" w:rsidR="00F02CC0" w:rsidRPr="00A024DE" w:rsidRDefault="00F02CC0" w:rsidP="00F02CC0">
      <w:pPr>
        <w:pStyle w:val="ListParagraph"/>
        <w:numPr>
          <w:ilvl w:val="0"/>
          <w:numId w:val="7"/>
        </w:numPr>
        <w:spacing w:line="279" w:lineRule="auto"/>
        <w:jc w:val="both"/>
        <w:rPr>
          <w:rFonts w:ascii="Aptos" w:hAnsi="Aptos" w:cs="Calibri"/>
          <w:color w:val="000000" w:themeColor="text1"/>
        </w:rPr>
      </w:pPr>
      <w:r w:rsidRPr="00A024DE">
        <w:rPr>
          <w:rFonts w:ascii="Aptos" w:hAnsi="Aptos" w:cs="Calibri"/>
          <w:color w:val="000000" w:themeColor="text1"/>
          <w:sz w:val="22"/>
          <w:szCs w:val="22"/>
        </w:rPr>
        <w:t>Through the commissioning process, work towards improving services' capability to respond effectively to experiences of violence and trauma, and their flow-on effects</w:t>
      </w:r>
      <w:r w:rsidR="000D63E0">
        <w:rPr>
          <w:rFonts w:ascii="Aptos" w:hAnsi="Aptos" w:cs="Calibri"/>
          <w:color w:val="000000" w:themeColor="text1"/>
          <w:sz w:val="22"/>
          <w:szCs w:val="22"/>
        </w:rPr>
        <w:t>.</w:t>
      </w:r>
    </w:p>
    <w:p w14:paraId="1F46C95D" w14:textId="77777777" w:rsidR="002512BA" w:rsidRPr="00A024DE" w:rsidRDefault="002512BA" w:rsidP="002512BA">
      <w:pPr>
        <w:pStyle w:val="ListParagraph"/>
        <w:spacing w:line="279" w:lineRule="auto"/>
        <w:jc w:val="both"/>
        <w:rPr>
          <w:rFonts w:ascii="Aptos" w:hAnsi="Aptos" w:cs="Calibri"/>
          <w:color w:val="000000" w:themeColor="text1"/>
        </w:rPr>
      </w:pPr>
    </w:p>
    <w:p w14:paraId="79A7B4FF" w14:textId="77777777" w:rsidR="00F02CC0" w:rsidRPr="00A024DE" w:rsidRDefault="00F02CC0" w:rsidP="00F02CC0">
      <w:pPr>
        <w:pStyle w:val="ListParagraph"/>
        <w:numPr>
          <w:ilvl w:val="0"/>
          <w:numId w:val="7"/>
        </w:numPr>
        <w:spacing w:line="279" w:lineRule="auto"/>
        <w:jc w:val="both"/>
        <w:rPr>
          <w:rFonts w:ascii="Aptos" w:hAnsi="Aptos" w:cs="Calibri"/>
          <w:color w:val="000000" w:themeColor="text1"/>
        </w:rPr>
      </w:pPr>
      <w:r w:rsidRPr="00A024DE">
        <w:rPr>
          <w:rFonts w:ascii="Aptos" w:hAnsi="Aptos" w:cs="Calibri"/>
          <w:color w:val="000000" w:themeColor="text1"/>
          <w:sz w:val="22"/>
          <w:szCs w:val="22"/>
        </w:rPr>
        <w:t>Prioritise improving access to mental health support and services for people who have experienced violence, including sexual violence</w:t>
      </w:r>
      <w:r w:rsidR="000D63E0">
        <w:rPr>
          <w:rFonts w:ascii="Aptos" w:hAnsi="Aptos" w:cs="Calibri"/>
          <w:color w:val="000000" w:themeColor="text1"/>
          <w:sz w:val="22"/>
          <w:szCs w:val="22"/>
        </w:rPr>
        <w:t>.</w:t>
      </w:r>
    </w:p>
    <w:p w14:paraId="31D78E07" w14:textId="77777777" w:rsidR="002512BA" w:rsidRPr="00A024DE" w:rsidRDefault="002512BA" w:rsidP="002512BA">
      <w:pPr>
        <w:pStyle w:val="ListParagraph"/>
        <w:spacing w:line="279" w:lineRule="auto"/>
        <w:jc w:val="both"/>
        <w:rPr>
          <w:rFonts w:ascii="Aptos" w:hAnsi="Aptos" w:cs="Calibri"/>
          <w:color w:val="000000" w:themeColor="text1"/>
          <w:sz w:val="22"/>
          <w:szCs w:val="22"/>
        </w:rPr>
      </w:pPr>
    </w:p>
    <w:p w14:paraId="357071E5" w14:textId="77777777" w:rsidR="00F02CC0" w:rsidRPr="00A024DE" w:rsidRDefault="00F02CC0" w:rsidP="00F02CC0">
      <w:pPr>
        <w:pStyle w:val="ListParagraph"/>
        <w:numPr>
          <w:ilvl w:val="0"/>
          <w:numId w:val="7"/>
        </w:numPr>
        <w:spacing w:line="279" w:lineRule="auto"/>
        <w:jc w:val="both"/>
        <w:rPr>
          <w:rFonts w:ascii="Aptos" w:hAnsi="Aptos" w:cs="Calibri"/>
          <w:color w:val="000000" w:themeColor="text1"/>
          <w:sz w:val="22"/>
          <w:szCs w:val="22"/>
        </w:rPr>
      </w:pPr>
      <w:r w:rsidRPr="00A024DE">
        <w:rPr>
          <w:rFonts w:ascii="Aptos" w:hAnsi="Aptos" w:cs="Calibri"/>
          <w:color w:val="000000" w:themeColor="text1"/>
          <w:sz w:val="22"/>
          <w:szCs w:val="22"/>
        </w:rPr>
        <w:t>When mapping mental health services, promotion and prevention, consider health promotion and access to support in a broader context, including services offering counselling in relation to violence</w:t>
      </w:r>
      <w:r w:rsidR="000D63E0">
        <w:rPr>
          <w:rFonts w:ascii="Aptos" w:hAnsi="Aptos" w:cs="Calibri"/>
          <w:color w:val="000000" w:themeColor="text1"/>
          <w:sz w:val="22"/>
          <w:szCs w:val="22"/>
        </w:rPr>
        <w:t>.</w:t>
      </w:r>
      <w:r w:rsidRPr="00A024DE">
        <w:rPr>
          <w:rFonts w:ascii="Aptos" w:hAnsi="Aptos" w:cs="Calibri"/>
          <w:color w:val="000000" w:themeColor="text1"/>
          <w:sz w:val="22"/>
          <w:szCs w:val="22"/>
        </w:rPr>
        <w:t xml:space="preserve"> </w:t>
      </w:r>
    </w:p>
    <w:p w14:paraId="35CE1F61" w14:textId="77777777" w:rsidR="00BC0479" w:rsidRDefault="00BC0479" w:rsidP="00456CA1">
      <w:pPr>
        <w:ind w:left="567" w:hanging="567"/>
        <w:jc w:val="both"/>
        <w:rPr>
          <w:rFonts w:cs="Calibri"/>
          <w:b/>
          <w:bCs/>
          <w:color w:val="000000" w:themeColor="text1"/>
          <w:sz w:val="28"/>
          <w:szCs w:val="28"/>
        </w:rPr>
      </w:pPr>
    </w:p>
    <w:p w14:paraId="3F96A720" w14:textId="77777777" w:rsidR="002512BA" w:rsidRDefault="002512BA">
      <w:pPr>
        <w:rPr>
          <w:rFonts w:cs="Calibri"/>
          <w:b/>
          <w:bCs/>
          <w:color w:val="000000" w:themeColor="text1"/>
          <w:sz w:val="28"/>
          <w:szCs w:val="28"/>
        </w:rPr>
      </w:pPr>
      <w:r>
        <w:rPr>
          <w:rFonts w:cs="Calibri"/>
          <w:b/>
          <w:bCs/>
          <w:color w:val="000000" w:themeColor="text1"/>
          <w:sz w:val="28"/>
          <w:szCs w:val="28"/>
        </w:rPr>
        <w:br w:type="page"/>
      </w:r>
    </w:p>
    <w:p w14:paraId="11965D21" w14:textId="77777777" w:rsidR="00456CA1" w:rsidRPr="004906CC" w:rsidRDefault="00456CA1" w:rsidP="00456CA1">
      <w:pPr>
        <w:ind w:left="567" w:hanging="567"/>
        <w:jc w:val="both"/>
        <w:rPr>
          <w:rFonts w:cs="Calibri"/>
          <w:b/>
          <w:bCs/>
          <w:color w:val="000000" w:themeColor="text1"/>
          <w:sz w:val="28"/>
          <w:szCs w:val="28"/>
        </w:rPr>
      </w:pPr>
      <w:r w:rsidRPr="004906CC">
        <w:rPr>
          <w:rFonts w:cs="Calibri"/>
          <w:b/>
          <w:bCs/>
          <w:color w:val="000000" w:themeColor="text1"/>
          <w:sz w:val="28"/>
          <w:szCs w:val="28"/>
        </w:rPr>
        <w:lastRenderedPageBreak/>
        <w:t xml:space="preserve">Commissioning </w:t>
      </w:r>
    </w:p>
    <w:p w14:paraId="507F810C" w14:textId="77777777" w:rsidR="00456CA1" w:rsidRPr="009559B2" w:rsidRDefault="00456CA1" w:rsidP="00456CA1">
      <w:pPr>
        <w:jc w:val="both"/>
        <w:rPr>
          <w:rFonts w:cs="Calibri"/>
          <w:sz w:val="22"/>
          <w:szCs w:val="22"/>
        </w:rPr>
      </w:pPr>
      <w:r w:rsidRPr="009559B2">
        <w:rPr>
          <w:rFonts w:cs="Calibri"/>
          <w:sz w:val="22"/>
          <w:szCs w:val="22"/>
        </w:rPr>
        <w:t xml:space="preserve">We understand there have been several recent consultations related to commissioning, including consultations on the needs of priority populations, prevention and promotion, and development of an </w:t>
      </w:r>
      <w:proofErr w:type="gramStart"/>
      <w:r w:rsidRPr="009559B2">
        <w:rPr>
          <w:rFonts w:cs="Calibri"/>
          <w:sz w:val="22"/>
          <w:szCs w:val="22"/>
        </w:rPr>
        <w:t>outcomes</w:t>
      </w:r>
      <w:proofErr w:type="gramEnd"/>
      <w:r w:rsidRPr="009559B2">
        <w:rPr>
          <w:rFonts w:cs="Calibri"/>
          <w:sz w:val="22"/>
          <w:szCs w:val="22"/>
        </w:rPr>
        <w:t xml:space="preserve"> framework. While WHM was not involved in these consultations, we appreciate the work already done and encourage those designing the commissioning process to continue to respond to the insights shared through the consultations.</w:t>
      </w:r>
    </w:p>
    <w:p w14:paraId="46867CD4" w14:textId="77777777" w:rsidR="00456CA1" w:rsidRPr="009559B2" w:rsidRDefault="00456CA1" w:rsidP="00456CA1">
      <w:pPr>
        <w:jc w:val="both"/>
        <w:rPr>
          <w:rFonts w:cs="Calibri"/>
          <w:sz w:val="22"/>
          <w:szCs w:val="22"/>
        </w:rPr>
      </w:pPr>
      <w:r w:rsidRPr="009559B2">
        <w:rPr>
          <w:rFonts w:cs="Calibri"/>
          <w:sz w:val="22"/>
          <w:szCs w:val="22"/>
        </w:rPr>
        <w:t>We wish to reinforce several points about commissioning made by others in the mental health sector, recommending that the ACT Government:</w:t>
      </w:r>
    </w:p>
    <w:p w14:paraId="306FB831" w14:textId="77777777" w:rsidR="00456CA1" w:rsidRPr="00FF423C" w:rsidRDefault="00456CA1" w:rsidP="00FF423C">
      <w:pPr>
        <w:pStyle w:val="ListParagraph"/>
        <w:numPr>
          <w:ilvl w:val="0"/>
          <w:numId w:val="10"/>
        </w:numPr>
        <w:spacing w:line="279" w:lineRule="auto"/>
        <w:jc w:val="both"/>
        <w:rPr>
          <w:rFonts w:cs="Calibri"/>
          <w:b/>
          <w:bCs/>
          <w:sz w:val="22"/>
          <w:szCs w:val="22"/>
        </w:rPr>
      </w:pPr>
      <w:r w:rsidRPr="00FF423C">
        <w:rPr>
          <w:rFonts w:cs="Calibri"/>
          <w:b/>
          <w:bCs/>
          <w:sz w:val="22"/>
          <w:szCs w:val="22"/>
        </w:rPr>
        <w:t>Use commissioning to fund local organisations that are demonstrating their effectiveness in addressing areas of need.</w:t>
      </w:r>
    </w:p>
    <w:p w14:paraId="48FA0E36" w14:textId="77777777" w:rsidR="00456CA1" w:rsidRPr="009559B2" w:rsidRDefault="00456CA1" w:rsidP="00456CA1">
      <w:pPr>
        <w:jc w:val="both"/>
        <w:rPr>
          <w:rFonts w:cs="Calibri"/>
          <w:sz w:val="22"/>
          <w:szCs w:val="22"/>
        </w:rPr>
      </w:pPr>
      <w:r w:rsidRPr="009559B2">
        <w:rPr>
          <w:rFonts w:cs="Calibri"/>
          <w:sz w:val="22"/>
          <w:szCs w:val="22"/>
        </w:rPr>
        <w:t xml:space="preserve">There are opportunities to design procurement guidelines so that these value local connections and local knowledge. These guidelines can also discourage very large organisations who lack this connection and knowledge from making applications to displace smaller organisations that have demonstrated their effectiveness. The ACT is a small jurisdiction in which the flow-on impacts of service defunding are significant. </w:t>
      </w:r>
    </w:p>
    <w:p w14:paraId="3C00025D" w14:textId="77777777" w:rsidR="00456CA1" w:rsidRPr="009559B2" w:rsidRDefault="00456CA1" w:rsidP="00456CA1">
      <w:pPr>
        <w:jc w:val="both"/>
        <w:rPr>
          <w:rFonts w:cs="Calibri"/>
          <w:sz w:val="22"/>
          <w:szCs w:val="22"/>
        </w:rPr>
      </w:pPr>
      <w:r w:rsidRPr="009559B2">
        <w:rPr>
          <w:rFonts w:cs="Calibri"/>
          <w:sz w:val="22"/>
          <w:szCs w:val="22"/>
        </w:rPr>
        <w:t>Commissioning logically requires organisations to demonstrate their ability to support broader policy goals, as a condition of receiving funding. Commissioning should also intentionally support the local service sector. This includes giving weight to working relationships, shared knowledge, staffing and workforce concerns and the sustainability of networks that support collaboration.</w:t>
      </w:r>
    </w:p>
    <w:p w14:paraId="67676DF8" w14:textId="77777777" w:rsidR="00456CA1" w:rsidRPr="009559B2" w:rsidRDefault="00456CA1" w:rsidP="00FF423C">
      <w:pPr>
        <w:pStyle w:val="ListParagraph"/>
        <w:numPr>
          <w:ilvl w:val="0"/>
          <w:numId w:val="10"/>
        </w:numPr>
        <w:spacing w:line="279" w:lineRule="auto"/>
        <w:jc w:val="both"/>
        <w:rPr>
          <w:rFonts w:cs="Calibri"/>
          <w:b/>
          <w:bCs/>
          <w:sz w:val="22"/>
          <w:szCs w:val="22"/>
        </w:rPr>
      </w:pPr>
      <w:r w:rsidRPr="009559B2">
        <w:rPr>
          <w:rFonts w:cs="Calibri"/>
          <w:b/>
          <w:bCs/>
          <w:sz w:val="22"/>
          <w:szCs w:val="22"/>
        </w:rPr>
        <w:t>Define the key concepts of commissioning clearly (i.e. streams, pillars, tranches and outcomes) and deploy these in the commissioning process in a way that is logical and not onerous for organisations seeking funding.</w:t>
      </w:r>
    </w:p>
    <w:p w14:paraId="05F2A82D" w14:textId="77777777" w:rsidR="00456CA1" w:rsidRPr="009559B2" w:rsidRDefault="00456CA1" w:rsidP="00456CA1">
      <w:pPr>
        <w:jc w:val="both"/>
        <w:rPr>
          <w:rFonts w:cs="Calibri"/>
          <w:sz w:val="22"/>
          <w:szCs w:val="22"/>
        </w:rPr>
      </w:pPr>
      <w:r w:rsidRPr="009559B2">
        <w:rPr>
          <w:rFonts w:cs="Calibri"/>
          <w:sz w:val="22"/>
          <w:szCs w:val="22"/>
        </w:rPr>
        <w:t xml:space="preserve">At the workshop on 5 June 2025, many participants noted that it was not yet fully clear how the streams, pillars, tranches and outcomes mentioned in the draft plan would be operationalised. It might be useful for those designing the commissioning to step through the process using hypothetical applications from organisations, to identify possible areas of confusion or inefficiency. For example, it would be good to consider what the process would look like for an organisation delivering (or intending to deliver) services with outcomes across more than one stream. </w:t>
      </w:r>
    </w:p>
    <w:p w14:paraId="492A7B19" w14:textId="77777777" w:rsidR="00456CA1" w:rsidRPr="009559B2" w:rsidRDefault="00456CA1" w:rsidP="00456CA1">
      <w:pPr>
        <w:jc w:val="both"/>
        <w:rPr>
          <w:rFonts w:cs="Calibri"/>
          <w:sz w:val="22"/>
          <w:szCs w:val="22"/>
        </w:rPr>
      </w:pPr>
      <w:r w:rsidRPr="009559B2">
        <w:rPr>
          <w:rFonts w:cs="Calibri"/>
          <w:sz w:val="22"/>
          <w:szCs w:val="22"/>
        </w:rPr>
        <w:t xml:space="preserve">In the context of reduced funding for some streams (i.e. for the Adults, Older People, and People with Co-occurring Needs stream), it would also be useful to consider whether the commissioning would be able to support more than one organisation delivering services towards the same outcome. While outright duplication is worth avoiding, there could be situations in which overlap is beneficial for collaboration towards shared goals. </w:t>
      </w:r>
    </w:p>
    <w:p w14:paraId="7DC1431F" w14:textId="77777777" w:rsidR="00456CA1" w:rsidRPr="009559B2" w:rsidRDefault="00456CA1" w:rsidP="00FF423C">
      <w:pPr>
        <w:pStyle w:val="ListParagraph"/>
        <w:numPr>
          <w:ilvl w:val="0"/>
          <w:numId w:val="10"/>
        </w:numPr>
        <w:spacing w:line="279" w:lineRule="auto"/>
        <w:jc w:val="both"/>
        <w:rPr>
          <w:rFonts w:cs="Calibri"/>
          <w:b/>
          <w:bCs/>
          <w:sz w:val="22"/>
          <w:szCs w:val="22"/>
        </w:rPr>
      </w:pPr>
      <w:r w:rsidRPr="009559B2">
        <w:rPr>
          <w:rFonts w:cs="Calibri"/>
          <w:b/>
          <w:bCs/>
          <w:sz w:val="22"/>
          <w:szCs w:val="22"/>
        </w:rPr>
        <w:t>Map the broader context of service provision and support systems beyond this commissioning to identify opportunities and prioritise areas for NGO funding</w:t>
      </w:r>
      <w:r w:rsidR="000D63E0">
        <w:rPr>
          <w:rFonts w:cs="Calibri"/>
          <w:b/>
          <w:bCs/>
          <w:sz w:val="22"/>
          <w:szCs w:val="22"/>
        </w:rPr>
        <w:t>.</w:t>
      </w:r>
      <w:r w:rsidRPr="009559B2">
        <w:rPr>
          <w:rFonts w:cs="Calibri"/>
          <w:b/>
          <w:bCs/>
          <w:sz w:val="22"/>
          <w:szCs w:val="22"/>
        </w:rPr>
        <w:t xml:space="preserve"> </w:t>
      </w:r>
    </w:p>
    <w:p w14:paraId="7A3902AE" w14:textId="77777777" w:rsidR="00456CA1" w:rsidRPr="009559B2" w:rsidRDefault="00456CA1" w:rsidP="00456CA1">
      <w:pPr>
        <w:jc w:val="both"/>
        <w:rPr>
          <w:rFonts w:cs="Calibri"/>
          <w:sz w:val="22"/>
          <w:szCs w:val="22"/>
        </w:rPr>
      </w:pPr>
      <w:r w:rsidRPr="009559B2">
        <w:rPr>
          <w:rFonts w:cs="Calibri"/>
          <w:sz w:val="22"/>
          <w:szCs w:val="22"/>
        </w:rPr>
        <w:t xml:space="preserve">As the </w:t>
      </w:r>
      <w:r w:rsidR="00CC200B">
        <w:rPr>
          <w:rFonts w:cs="Calibri"/>
          <w:sz w:val="22"/>
          <w:szCs w:val="22"/>
        </w:rPr>
        <w:t>Draft Mental Health Commissioning Strategic Investment Plan (</w:t>
      </w:r>
      <w:r w:rsidRPr="009559B2">
        <w:rPr>
          <w:rFonts w:cs="Calibri"/>
          <w:sz w:val="22"/>
          <w:szCs w:val="22"/>
        </w:rPr>
        <w:t>SIP</w:t>
      </w:r>
      <w:r w:rsidR="00CC200B">
        <w:rPr>
          <w:rFonts w:cs="Calibri"/>
          <w:sz w:val="22"/>
          <w:szCs w:val="22"/>
        </w:rPr>
        <w:t>)</w:t>
      </w:r>
      <w:r w:rsidRPr="009559B2">
        <w:rPr>
          <w:rFonts w:cs="Calibri"/>
          <w:sz w:val="22"/>
          <w:szCs w:val="22"/>
        </w:rPr>
        <w:t xml:space="preserve"> points out, the envelope of funding covered by this commissioning is just one subset of the funding being </w:t>
      </w:r>
      <w:r w:rsidRPr="009559B2">
        <w:rPr>
          <w:rFonts w:cs="Calibri"/>
          <w:sz w:val="22"/>
          <w:szCs w:val="22"/>
        </w:rPr>
        <w:lastRenderedPageBreak/>
        <w:t>directed to mental health in the ACT.</w:t>
      </w:r>
      <w:r w:rsidR="00DC31FF">
        <w:rPr>
          <w:rStyle w:val="FootnoteReference"/>
          <w:rFonts w:cs="Calibri"/>
          <w:sz w:val="22"/>
          <w:szCs w:val="22"/>
        </w:rPr>
        <w:footnoteReference w:id="2"/>
      </w:r>
      <w:r w:rsidRPr="009559B2">
        <w:rPr>
          <w:rFonts w:cs="Calibri"/>
          <w:sz w:val="22"/>
          <w:szCs w:val="22"/>
        </w:rPr>
        <w:t xml:space="preserve"> </w:t>
      </w:r>
      <w:proofErr w:type="gramStart"/>
      <w:r w:rsidRPr="009559B2">
        <w:rPr>
          <w:rFonts w:cs="Calibri"/>
          <w:sz w:val="22"/>
          <w:szCs w:val="22"/>
        </w:rPr>
        <w:t>Publicly-provided</w:t>
      </w:r>
      <w:proofErr w:type="gramEnd"/>
      <w:r w:rsidRPr="009559B2">
        <w:rPr>
          <w:rFonts w:cs="Calibri"/>
          <w:sz w:val="22"/>
          <w:szCs w:val="22"/>
        </w:rPr>
        <w:t xml:space="preserve"> health services, philanthropic funding and direct grants from the Australian Government are among the key other funding sources. </w:t>
      </w:r>
    </w:p>
    <w:p w14:paraId="7828C851" w14:textId="77777777" w:rsidR="00456CA1" w:rsidRPr="009559B2" w:rsidRDefault="00456CA1" w:rsidP="00456CA1">
      <w:pPr>
        <w:jc w:val="both"/>
        <w:rPr>
          <w:rFonts w:cs="Calibri"/>
          <w:sz w:val="22"/>
          <w:szCs w:val="22"/>
        </w:rPr>
      </w:pPr>
      <w:r w:rsidRPr="009559B2">
        <w:rPr>
          <w:rFonts w:cs="Calibri"/>
          <w:sz w:val="22"/>
          <w:szCs w:val="22"/>
        </w:rPr>
        <w:t xml:space="preserve">Beyond funding directed to mental health specifically, there are adjacent sectors focused on relevant areas such as violence, justice and disability. There are also important support systems such as those provided by carers, workplaces, families and other relationships. </w:t>
      </w:r>
    </w:p>
    <w:p w14:paraId="4F99B60C" w14:textId="77777777" w:rsidR="005E0B17" w:rsidRDefault="00456CA1" w:rsidP="00456CA1">
      <w:pPr>
        <w:jc w:val="both"/>
        <w:rPr>
          <w:rFonts w:cs="Calibri"/>
          <w:sz w:val="22"/>
          <w:szCs w:val="22"/>
        </w:rPr>
      </w:pPr>
      <w:r w:rsidRPr="009559B2">
        <w:rPr>
          <w:rFonts w:cs="Calibri"/>
          <w:sz w:val="22"/>
          <w:szCs w:val="22"/>
        </w:rPr>
        <w:t xml:space="preserve">Some of these contexts are outlined in the SIP, but it might be useful to map the scope of commissioning more explicitly against these. The amount of NGO funding to be included in commissioning is at this stage only around $14.5 million, compared with the ACT Government spending of over $110 million for </w:t>
      </w:r>
      <w:proofErr w:type="gramStart"/>
      <w:r w:rsidRPr="009559B2">
        <w:rPr>
          <w:rFonts w:cs="Calibri"/>
          <w:sz w:val="22"/>
          <w:szCs w:val="22"/>
        </w:rPr>
        <w:t>publicly-provided</w:t>
      </w:r>
      <w:proofErr w:type="gramEnd"/>
      <w:r w:rsidRPr="009559B2">
        <w:rPr>
          <w:rFonts w:cs="Calibri"/>
          <w:sz w:val="22"/>
          <w:szCs w:val="22"/>
        </w:rPr>
        <w:t xml:space="preserve"> mental health services, which is in addition to Australian government funding through Medicare and </w:t>
      </w:r>
      <w:r w:rsidR="005E0B17">
        <w:rPr>
          <w:rFonts w:cs="Calibri"/>
          <w:sz w:val="22"/>
          <w:szCs w:val="22"/>
        </w:rPr>
        <w:t>Capital Health Network</w:t>
      </w:r>
      <w:r w:rsidRPr="009559B2">
        <w:rPr>
          <w:rFonts w:cs="Calibri"/>
          <w:sz w:val="22"/>
          <w:szCs w:val="22"/>
        </w:rPr>
        <w:t xml:space="preserve">. </w:t>
      </w:r>
    </w:p>
    <w:p w14:paraId="56E9D67B" w14:textId="77777777" w:rsidR="000D4290" w:rsidRDefault="00456CA1" w:rsidP="002512BA">
      <w:pPr>
        <w:jc w:val="both"/>
        <w:rPr>
          <w:rFonts w:cs="Calibri"/>
          <w:sz w:val="22"/>
          <w:szCs w:val="22"/>
        </w:rPr>
      </w:pPr>
      <w:r w:rsidRPr="009559B2">
        <w:rPr>
          <w:rFonts w:cs="Calibri"/>
          <w:sz w:val="22"/>
          <w:szCs w:val="22"/>
        </w:rPr>
        <w:t xml:space="preserve">It </w:t>
      </w:r>
      <w:r w:rsidR="005E0B17">
        <w:rPr>
          <w:rFonts w:cs="Calibri"/>
          <w:sz w:val="22"/>
          <w:szCs w:val="22"/>
        </w:rPr>
        <w:t xml:space="preserve">could </w:t>
      </w:r>
      <w:r w:rsidRPr="009559B2">
        <w:rPr>
          <w:rFonts w:cs="Calibri"/>
          <w:sz w:val="22"/>
          <w:szCs w:val="22"/>
        </w:rPr>
        <w:t xml:space="preserve">be useful in this context to define the goals of the NGO funding in a way that is realistic about the fact that this funding will not be able to deliver the full range of outcomes that are sought across the </w:t>
      </w:r>
      <w:proofErr w:type="gramStart"/>
      <w:r w:rsidRPr="009559B2">
        <w:rPr>
          <w:rFonts w:cs="Calibri"/>
          <w:sz w:val="22"/>
          <w:szCs w:val="22"/>
        </w:rPr>
        <w:t>system as a whole</w:t>
      </w:r>
      <w:proofErr w:type="gramEnd"/>
      <w:r w:rsidRPr="009559B2">
        <w:rPr>
          <w:rFonts w:cs="Calibri"/>
          <w:sz w:val="22"/>
          <w:szCs w:val="22"/>
        </w:rPr>
        <w:t>. Accordingly, it would be good to demonstrate how the NGO funding fits into this broader set of outcomes and priorities.</w:t>
      </w:r>
    </w:p>
    <w:p w14:paraId="63D60AA4" w14:textId="77777777" w:rsidR="002512BA" w:rsidRDefault="002512BA" w:rsidP="002512BA">
      <w:pPr>
        <w:jc w:val="both"/>
        <w:rPr>
          <w:rFonts w:cs="Calibri"/>
          <w:b/>
          <w:bCs/>
          <w:color w:val="000000" w:themeColor="text1"/>
          <w:sz w:val="22"/>
          <w:szCs w:val="22"/>
        </w:rPr>
      </w:pPr>
    </w:p>
    <w:p w14:paraId="25632D3E" w14:textId="77777777" w:rsidR="00456CA1" w:rsidRPr="009C15FE" w:rsidRDefault="00456CA1" w:rsidP="009C15FE">
      <w:pPr>
        <w:rPr>
          <w:rFonts w:cs="Calibri"/>
          <w:b/>
          <w:bCs/>
          <w:color w:val="000000" w:themeColor="text1"/>
          <w:sz w:val="22"/>
          <w:szCs w:val="22"/>
        </w:rPr>
      </w:pPr>
      <w:r w:rsidRPr="00762BC5">
        <w:rPr>
          <w:rFonts w:cs="Calibri"/>
          <w:b/>
          <w:bCs/>
          <w:color w:val="000000" w:themeColor="text1"/>
          <w:sz w:val="28"/>
          <w:szCs w:val="28"/>
        </w:rPr>
        <w:t>Women’s mental health and wellbeing</w:t>
      </w:r>
    </w:p>
    <w:p w14:paraId="68CB5A12" w14:textId="77777777" w:rsidR="00456CA1" w:rsidRPr="009559B2" w:rsidRDefault="00456CA1" w:rsidP="00456CA1">
      <w:pPr>
        <w:jc w:val="both"/>
        <w:rPr>
          <w:rFonts w:cs="Calibri"/>
          <w:sz w:val="22"/>
          <w:szCs w:val="22"/>
        </w:rPr>
      </w:pPr>
      <w:r w:rsidRPr="009559B2">
        <w:rPr>
          <w:rFonts w:cs="Calibri"/>
          <w:sz w:val="22"/>
          <w:szCs w:val="22"/>
        </w:rPr>
        <w:t>Mental health is a key concern for women in the ACT, as demonstrated by the findings of our 2023 and 2025 Surveys of Women’s Health (discussed further below). Mental health is also one of the five priorities identified by the</w:t>
      </w:r>
      <w:r w:rsidR="00792969">
        <w:rPr>
          <w:rFonts w:cs="Calibri"/>
          <w:sz w:val="22"/>
          <w:szCs w:val="22"/>
        </w:rPr>
        <w:t xml:space="preserve"> National Women’s Health Strategy 2020-2030.</w:t>
      </w:r>
      <w:r w:rsidR="00EC43DE">
        <w:rPr>
          <w:rStyle w:val="FootnoteReference"/>
          <w:rFonts w:cs="Calibri"/>
          <w:sz w:val="22"/>
          <w:szCs w:val="22"/>
        </w:rPr>
        <w:footnoteReference w:id="3"/>
      </w:r>
      <w:r w:rsidRPr="009559B2">
        <w:rPr>
          <w:rFonts w:cs="Calibri"/>
          <w:sz w:val="22"/>
          <w:szCs w:val="22"/>
        </w:rPr>
        <w:t xml:space="preserve"> The areas of activity proposed by the Strategy to support women’s mental health are: </w:t>
      </w:r>
    </w:p>
    <w:p w14:paraId="5C4B475E" w14:textId="77777777" w:rsidR="00456CA1" w:rsidRPr="009559B2" w:rsidRDefault="00456CA1" w:rsidP="00456CA1">
      <w:pPr>
        <w:pStyle w:val="ListParagraph"/>
        <w:numPr>
          <w:ilvl w:val="0"/>
          <w:numId w:val="9"/>
        </w:numPr>
        <w:spacing w:line="279" w:lineRule="auto"/>
        <w:jc w:val="both"/>
        <w:rPr>
          <w:rFonts w:cs="Calibri"/>
          <w:sz w:val="22"/>
          <w:szCs w:val="22"/>
        </w:rPr>
      </w:pPr>
      <w:r w:rsidRPr="009559B2">
        <w:rPr>
          <w:rFonts w:cs="Calibri"/>
          <w:sz w:val="22"/>
          <w:szCs w:val="22"/>
        </w:rPr>
        <w:t>Enhance gender-specific mental health education, awareness and primary prevention</w:t>
      </w:r>
    </w:p>
    <w:p w14:paraId="4EFDD164" w14:textId="77777777" w:rsidR="00456CA1" w:rsidRPr="009559B2" w:rsidRDefault="00456CA1" w:rsidP="00456CA1">
      <w:pPr>
        <w:pStyle w:val="ListParagraph"/>
        <w:numPr>
          <w:ilvl w:val="0"/>
          <w:numId w:val="9"/>
        </w:numPr>
        <w:spacing w:line="279" w:lineRule="auto"/>
        <w:jc w:val="both"/>
        <w:rPr>
          <w:rFonts w:cs="Calibri"/>
          <w:sz w:val="22"/>
          <w:szCs w:val="22"/>
        </w:rPr>
      </w:pPr>
      <w:r w:rsidRPr="009559B2">
        <w:rPr>
          <w:rFonts w:cs="Calibri"/>
          <w:sz w:val="22"/>
          <w:szCs w:val="22"/>
        </w:rPr>
        <w:t xml:space="preserve">Focus on early intervention, diagnosis and access to mental health care </w:t>
      </w:r>
    </w:p>
    <w:p w14:paraId="7A56C6E9" w14:textId="77777777" w:rsidR="00456CA1" w:rsidRPr="009559B2" w:rsidRDefault="00456CA1" w:rsidP="00456CA1">
      <w:pPr>
        <w:pStyle w:val="ListParagraph"/>
        <w:numPr>
          <w:ilvl w:val="0"/>
          <w:numId w:val="9"/>
        </w:numPr>
        <w:spacing w:line="279" w:lineRule="auto"/>
        <w:jc w:val="both"/>
        <w:rPr>
          <w:rFonts w:cs="Calibri"/>
          <w:sz w:val="22"/>
          <w:szCs w:val="22"/>
        </w:rPr>
      </w:pPr>
      <w:r w:rsidRPr="009559B2">
        <w:rPr>
          <w:rFonts w:cs="Calibri"/>
          <w:sz w:val="22"/>
          <w:szCs w:val="22"/>
        </w:rPr>
        <w:t>Invest in service delivery for priority populations</w:t>
      </w:r>
      <w:r w:rsidR="00A55EFC">
        <w:rPr>
          <w:rStyle w:val="FootnoteReference"/>
          <w:rFonts w:cs="Calibri"/>
          <w:sz w:val="22"/>
          <w:szCs w:val="22"/>
        </w:rPr>
        <w:footnoteReference w:id="4"/>
      </w:r>
      <w:r w:rsidRPr="009559B2">
        <w:rPr>
          <w:rFonts w:cs="Calibri"/>
          <w:sz w:val="22"/>
          <w:szCs w:val="22"/>
        </w:rPr>
        <w:t xml:space="preserve"> [including women and girls experiencing violence and/or abuse] </w:t>
      </w:r>
    </w:p>
    <w:p w14:paraId="6E19D3D3" w14:textId="77777777" w:rsidR="00456CA1" w:rsidRPr="009559B2" w:rsidRDefault="00456CA1" w:rsidP="00456CA1">
      <w:pPr>
        <w:pStyle w:val="ListParagraph"/>
        <w:numPr>
          <w:ilvl w:val="0"/>
          <w:numId w:val="9"/>
        </w:numPr>
        <w:spacing w:line="279" w:lineRule="auto"/>
        <w:jc w:val="both"/>
        <w:rPr>
          <w:rFonts w:cs="Calibri"/>
          <w:sz w:val="22"/>
          <w:szCs w:val="22"/>
        </w:rPr>
      </w:pPr>
      <w:r w:rsidRPr="009559B2">
        <w:rPr>
          <w:rFonts w:cs="Calibri"/>
          <w:sz w:val="22"/>
          <w:szCs w:val="22"/>
        </w:rPr>
        <w:t xml:space="preserve">Adopt a multi-faceted approach to support women and girls with eating disorders </w:t>
      </w:r>
    </w:p>
    <w:p w14:paraId="6FE0372B" w14:textId="77777777" w:rsidR="00456CA1" w:rsidRPr="009559B2" w:rsidRDefault="00456CA1" w:rsidP="00456CA1">
      <w:pPr>
        <w:pStyle w:val="ListParagraph"/>
        <w:numPr>
          <w:ilvl w:val="0"/>
          <w:numId w:val="9"/>
        </w:numPr>
        <w:spacing w:line="279" w:lineRule="auto"/>
        <w:jc w:val="both"/>
        <w:rPr>
          <w:rFonts w:cs="Calibri"/>
          <w:sz w:val="22"/>
          <w:szCs w:val="22"/>
        </w:rPr>
      </w:pPr>
      <w:r w:rsidRPr="009559B2">
        <w:rPr>
          <w:rFonts w:cs="Calibri"/>
          <w:sz w:val="22"/>
          <w:szCs w:val="22"/>
        </w:rPr>
        <w:t>Raise awareness and embed practices to reduce stigma and discrimination associated with mental ill-health</w:t>
      </w:r>
    </w:p>
    <w:p w14:paraId="07B14DA8" w14:textId="77777777" w:rsidR="00456CA1" w:rsidRPr="009559B2" w:rsidRDefault="00456CA1" w:rsidP="00456CA1">
      <w:pPr>
        <w:spacing w:line="259" w:lineRule="auto"/>
        <w:rPr>
          <w:rFonts w:cs="Calibri"/>
          <w:sz w:val="22"/>
          <w:szCs w:val="22"/>
        </w:rPr>
      </w:pPr>
      <w:r w:rsidRPr="009559B2">
        <w:rPr>
          <w:rFonts w:cs="Calibri"/>
          <w:sz w:val="22"/>
          <w:szCs w:val="22"/>
        </w:rPr>
        <w:lastRenderedPageBreak/>
        <w:t>Efforts to improve gender equity have also been identified as important parts of the policy context of mental health and suicide prevention. This intersection is supported by the Partnership Agreement between the ACT Government and the Australian Government on Mental Health and Suicide Prevention, which states the agreement should be read together with the ACT Women’s Plan 2016-2026 (among other policies).</w:t>
      </w:r>
      <w:r w:rsidR="00A55EFC">
        <w:rPr>
          <w:rStyle w:val="FootnoteReference"/>
          <w:rFonts w:cs="Calibri"/>
          <w:sz w:val="22"/>
          <w:szCs w:val="22"/>
        </w:rPr>
        <w:footnoteReference w:id="5"/>
      </w:r>
      <w:r w:rsidRPr="009559B2">
        <w:rPr>
          <w:rFonts w:cs="Calibri"/>
          <w:sz w:val="22"/>
          <w:szCs w:val="22"/>
        </w:rPr>
        <w:t xml:space="preserve"> </w:t>
      </w:r>
    </w:p>
    <w:p w14:paraId="37FCE233" w14:textId="77777777" w:rsidR="00456CA1" w:rsidRPr="009559B2" w:rsidRDefault="00456CA1" w:rsidP="00456CA1">
      <w:pPr>
        <w:spacing w:line="259" w:lineRule="auto"/>
        <w:rPr>
          <w:rFonts w:cs="Calibri"/>
          <w:sz w:val="22"/>
          <w:szCs w:val="22"/>
        </w:rPr>
      </w:pPr>
      <w:r w:rsidRPr="009559B2">
        <w:rPr>
          <w:rFonts w:cs="Calibri"/>
          <w:sz w:val="22"/>
          <w:szCs w:val="22"/>
        </w:rPr>
        <w:t>The ACT Women’s Plan highlights the CHS-provided Women’s Health Service as a service providing healthcare for women experiencing mental health challenges (among other challenges</w:t>
      </w:r>
      <w:proofErr w:type="gramStart"/>
      <w:r w:rsidRPr="009559B2">
        <w:rPr>
          <w:rFonts w:cs="Calibri"/>
          <w:sz w:val="22"/>
          <w:szCs w:val="22"/>
        </w:rPr>
        <w:t>), and</w:t>
      </w:r>
      <w:proofErr w:type="gramEnd"/>
      <w:r w:rsidRPr="009559B2">
        <w:rPr>
          <w:rFonts w:cs="Calibri"/>
          <w:sz w:val="22"/>
          <w:szCs w:val="22"/>
        </w:rPr>
        <w:t xml:space="preserve"> also focuses on the need to prevent gender-based violence and provide support to women who have experienced violence.</w:t>
      </w:r>
      <w:r w:rsidR="00B87A61">
        <w:rPr>
          <w:rStyle w:val="FootnoteReference"/>
          <w:rFonts w:cs="Calibri"/>
          <w:sz w:val="22"/>
          <w:szCs w:val="22"/>
        </w:rPr>
        <w:footnoteReference w:id="6"/>
      </w:r>
    </w:p>
    <w:p w14:paraId="7B7E92E5" w14:textId="77777777" w:rsidR="000E294C" w:rsidRDefault="00456CA1" w:rsidP="000E294C">
      <w:pPr>
        <w:jc w:val="both"/>
        <w:rPr>
          <w:rFonts w:cs="Calibri"/>
          <w:sz w:val="22"/>
          <w:szCs w:val="22"/>
        </w:rPr>
      </w:pPr>
      <w:r w:rsidRPr="009559B2">
        <w:rPr>
          <w:rFonts w:cs="Calibri"/>
          <w:sz w:val="22"/>
          <w:szCs w:val="22"/>
        </w:rPr>
        <w:t xml:space="preserve">While noting the diversity of experiences and barriers across the </w:t>
      </w:r>
      <w:proofErr w:type="gramStart"/>
      <w:r w:rsidRPr="009559B2">
        <w:rPr>
          <w:rFonts w:cs="Calibri"/>
          <w:sz w:val="22"/>
          <w:szCs w:val="22"/>
        </w:rPr>
        <w:t>community as a whole, we</w:t>
      </w:r>
      <w:proofErr w:type="gramEnd"/>
      <w:r w:rsidRPr="009559B2">
        <w:rPr>
          <w:rFonts w:cs="Calibri"/>
          <w:sz w:val="22"/>
          <w:szCs w:val="22"/>
        </w:rPr>
        <w:t xml:space="preserve"> urge funders and services to address mental health in a way that responds to its gendered dimensions, including learning from WHM’s research as well as the lived experience and scholarship about women’s mental health that has been developed over the decades. </w:t>
      </w:r>
    </w:p>
    <w:p w14:paraId="41D64943" w14:textId="77777777" w:rsidR="000E294C" w:rsidRDefault="000E294C" w:rsidP="000E294C">
      <w:pPr>
        <w:jc w:val="both"/>
        <w:rPr>
          <w:rFonts w:cs="Calibri"/>
          <w:sz w:val="22"/>
          <w:szCs w:val="22"/>
        </w:rPr>
      </w:pPr>
    </w:p>
    <w:p w14:paraId="54C562BC" w14:textId="77777777" w:rsidR="00456CA1" w:rsidRPr="009559B2" w:rsidRDefault="00456CA1" w:rsidP="000E294C">
      <w:pPr>
        <w:jc w:val="both"/>
        <w:rPr>
          <w:rFonts w:cs="Calibri"/>
          <w:b/>
          <w:bCs/>
          <w:color w:val="000000" w:themeColor="text1"/>
          <w:sz w:val="22"/>
          <w:szCs w:val="22"/>
        </w:rPr>
      </w:pPr>
      <w:r w:rsidRPr="009559B2">
        <w:rPr>
          <w:rFonts w:cs="Calibri"/>
          <w:b/>
          <w:bCs/>
          <w:color w:val="000000" w:themeColor="text1"/>
          <w:sz w:val="22"/>
          <w:szCs w:val="22"/>
        </w:rPr>
        <w:t xml:space="preserve">A gender lens on mental health </w:t>
      </w:r>
    </w:p>
    <w:p w14:paraId="3369A682" w14:textId="77777777" w:rsidR="00456CA1" w:rsidRPr="009559B2" w:rsidRDefault="00456CA1" w:rsidP="00456CA1">
      <w:pPr>
        <w:rPr>
          <w:sz w:val="22"/>
          <w:szCs w:val="22"/>
        </w:rPr>
      </w:pPr>
      <w:r w:rsidRPr="009559B2">
        <w:rPr>
          <w:rFonts w:cs="Calibri"/>
          <w:sz w:val="22"/>
          <w:szCs w:val="22"/>
        </w:rPr>
        <w:t xml:space="preserve">Research has established that experiences of health are gendered at the population level. </w:t>
      </w:r>
      <w:r w:rsidRPr="009559B2">
        <w:rPr>
          <w:sz w:val="22"/>
          <w:szCs w:val="22"/>
        </w:rPr>
        <w:t>Nationally, women are more likely to self-report their health as fair or poor than men, more likely to have a chronic condition, and more likely to have more chronic conditions.</w:t>
      </w:r>
      <w:r w:rsidRPr="009559B2">
        <w:rPr>
          <w:rStyle w:val="FootnoteReference"/>
          <w:sz w:val="22"/>
          <w:szCs w:val="22"/>
        </w:rPr>
        <w:footnoteReference w:id="7"/>
      </w:r>
      <w:r w:rsidRPr="009559B2">
        <w:rPr>
          <w:sz w:val="22"/>
          <w:szCs w:val="22"/>
        </w:rPr>
        <w:t xml:space="preserve"> </w:t>
      </w:r>
    </w:p>
    <w:p w14:paraId="77258564" w14:textId="77777777" w:rsidR="00456CA1" w:rsidRPr="009559B2" w:rsidRDefault="00456CA1" w:rsidP="00456CA1">
      <w:pPr>
        <w:rPr>
          <w:sz w:val="22"/>
          <w:szCs w:val="22"/>
        </w:rPr>
      </w:pPr>
      <w:r w:rsidRPr="009559B2">
        <w:rPr>
          <w:sz w:val="22"/>
          <w:szCs w:val="22"/>
        </w:rPr>
        <w:t>These patterns are reflected locally. In the ACT, women are more likely to self-report fair/poor general health than men, and more likely to report a level of psychological distress indicating serious mental illness.</w:t>
      </w:r>
      <w:r w:rsidR="00A97FF0">
        <w:rPr>
          <w:rStyle w:val="FootnoteReference"/>
          <w:sz w:val="22"/>
          <w:szCs w:val="22"/>
        </w:rPr>
        <w:footnoteReference w:id="8"/>
      </w:r>
      <w:r w:rsidRPr="009559B2">
        <w:rPr>
          <w:sz w:val="22"/>
          <w:szCs w:val="22"/>
        </w:rPr>
        <w:t xml:space="preserve"> Women are less likely to find it easy to access health services, including GP services, specialist services and mental health services.</w:t>
      </w:r>
      <w:r w:rsidRPr="009559B2">
        <w:rPr>
          <w:rStyle w:val="FootnoteReference"/>
          <w:sz w:val="22"/>
          <w:szCs w:val="22"/>
        </w:rPr>
        <w:footnoteReference w:id="9"/>
      </w:r>
      <w:r w:rsidRPr="009559B2">
        <w:rPr>
          <w:sz w:val="22"/>
          <w:szCs w:val="22"/>
        </w:rPr>
        <w:t xml:space="preserve"> </w:t>
      </w:r>
    </w:p>
    <w:p w14:paraId="757B480F" w14:textId="77777777" w:rsidR="00456CA1" w:rsidRPr="009559B2" w:rsidRDefault="00456CA1" w:rsidP="00456CA1">
      <w:pPr>
        <w:jc w:val="both"/>
        <w:rPr>
          <w:rFonts w:cs="Calibri"/>
          <w:sz w:val="22"/>
          <w:szCs w:val="22"/>
        </w:rPr>
      </w:pPr>
      <w:r w:rsidRPr="009559B2">
        <w:rPr>
          <w:rFonts w:cs="Calibri"/>
          <w:sz w:val="22"/>
          <w:szCs w:val="22"/>
        </w:rPr>
        <w:t xml:space="preserve">While cultural, economic and other differences between people of the same gender are often as significant as (or more significant than) commonalities by gender, gender is nevertheless one of the key factors that influence health outcomes and experiences, including mental health. </w:t>
      </w:r>
    </w:p>
    <w:p w14:paraId="158855AC" w14:textId="77777777" w:rsidR="00456CA1" w:rsidRPr="009559B2" w:rsidRDefault="00456CA1" w:rsidP="00456CA1">
      <w:pPr>
        <w:jc w:val="both"/>
        <w:rPr>
          <w:rFonts w:cs="Calibri"/>
          <w:sz w:val="22"/>
          <w:szCs w:val="22"/>
        </w:rPr>
      </w:pPr>
      <w:r w:rsidRPr="009559B2">
        <w:rPr>
          <w:rFonts w:cs="Calibri"/>
          <w:sz w:val="22"/>
          <w:szCs w:val="22"/>
        </w:rPr>
        <w:t xml:space="preserve">It is important to note that many health datasets use a binary model of gender (women compared with men, as in the summaries above) that does not properly reflect the experiences </w:t>
      </w:r>
      <w:r w:rsidRPr="009559B2">
        <w:rPr>
          <w:rFonts w:cs="Calibri"/>
          <w:sz w:val="22"/>
          <w:szCs w:val="22"/>
        </w:rPr>
        <w:lastRenderedPageBreak/>
        <w:t>of trans, non-binary and gender diverse people. A recent study shows that the mental health of trans, nonbinary and gender-diverse people in Australia is worse than the general population and that this gap is worsening over time.</w:t>
      </w:r>
      <w:r w:rsidR="00FD595B">
        <w:rPr>
          <w:rStyle w:val="FootnoteReference"/>
          <w:rFonts w:cs="Calibri"/>
          <w:sz w:val="22"/>
          <w:szCs w:val="22"/>
        </w:rPr>
        <w:footnoteReference w:id="10"/>
      </w:r>
      <w:r w:rsidRPr="009559B2">
        <w:rPr>
          <w:rFonts w:cs="Calibri"/>
          <w:sz w:val="22"/>
          <w:szCs w:val="22"/>
        </w:rPr>
        <w:t xml:space="preserve"> The authors of this study note that:</w:t>
      </w:r>
    </w:p>
    <w:p w14:paraId="2A4B6274" w14:textId="77777777" w:rsidR="000D4290" w:rsidRDefault="00456CA1" w:rsidP="000D4290">
      <w:pPr>
        <w:ind w:left="720"/>
        <w:jc w:val="both"/>
        <w:rPr>
          <w:rFonts w:cs="Calibri"/>
          <w:sz w:val="22"/>
          <w:szCs w:val="22"/>
        </w:rPr>
      </w:pPr>
      <w:r w:rsidRPr="009559B2">
        <w:rPr>
          <w:rFonts w:cs="Calibri"/>
          <w:i/>
          <w:iCs/>
          <w:sz w:val="22"/>
          <w:szCs w:val="22"/>
        </w:rPr>
        <w:t>It is highly likely that structural factors are contributing to these mental health inequalities. For example, although a substantial body of research has shown that access to gender-affirming care is associated with better mental health outcomes, including improved quality of life and reduced symptoms of depression and suicidal ideation among TGD [trans and gender-diverse] populations, there is inadequate and inequitable access in Australia.</w:t>
      </w:r>
      <w:r w:rsidR="00E25695">
        <w:rPr>
          <w:rStyle w:val="FootnoteReference"/>
          <w:rFonts w:cs="Calibri"/>
          <w:i/>
          <w:iCs/>
          <w:sz w:val="22"/>
          <w:szCs w:val="22"/>
        </w:rPr>
        <w:footnoteReference w:id="11"/>
      </w:r>
    </w:p>
    <w:p w14:paraId="290CD41C" w14:textId="77777777" w:rsidR="00456CA1" w:rsidRPr="009559B2" w:rsidRDefault="00456CA1" w:rsidP="000D4290">
      <w:pPr>
        <w:jc w:val="both"/>
        <w:rPr>
          <w:rFonts w:cs="Calibri"/>
          <w:sz w:val="22"/>
          <w:szCs w:val="22"/>
        </w:rPr>
      </w:pPr>
      <w:r w:rsidRPr="009559B2">
        <w:rPr>
          <w:rFonts w:cs="Calibri"/>
          <w:sz w:val="22"/>
          <w:szCs w:val="22"/>
        </w:rPr>
        <w:t>A long-standing body of research has identified specific mental health concerns for men, including suicide and self-inflicted injuries, and substance abuse disorders.</w:t>
      </w:r>
      <w:r w:rsidR="00AA052C">
        <w:rPr>
          <w:rStyle w:val="FootnoteReference"/>
          <w:rFonts w:cs="Calibri"/>
          <w:sz w:val="22"/>
          <w:szCs w:val="22"/>
        </w:rPr>
        <w:footnoteReference w:id="12"/>
      </w:r>
      <w:r w:rsidRPr="009559B2">
        <w:rPr>
          <w:rFonts w:cs="Calibri"/>
          <w:sz w:val="22"/>
          <w:szCs w:val="22"/>
        </w:rPr>
        <w:t xml:space="preserve"> </w:t>
      </w:r>
      <w:r w:rsidR="00341F80">
        <w:rPr>
          <w:rStyle w:val="FootnoteReference"/>
          <w:rFonts w:cs="Calibri"/>
          <w:sz w:val="22"/>
          <w:szCs w:val="22"/>
        </w:rPr>
        <w:footnoteReference w:id="13"/>
      </w:r>
      <w:r w:rsidR="00341F80">
        <w:rPr>
          <w:rFonts w:cs="Calibri"/>
          <w:sz w:val="22"/>
          <w:szCs w:val="22"/>
        </w:rPr>
        <w:t xml:space="preserve"> </w:t>
      </w:r>
      <w:r w:rsidRPr="009559B2">
        <w:rPr>
          <w:rFonts w:cs="Calibri"/>
          <w:sz w:val="22"/>
          <w:szCs w:val="22"/>
        </w:rPr>
        <w:t>Research has also highlighted the impact of loneliness and men’s reluctance to seek help.</w:t>
      </w:r>
      <w:r w:rsidR="00341F80">
        <w:rPr>
          <w:rStyle w:val="FootnoteReference"/>
          <w:rFonts w:cs="Calibri"/>
          <w:sz w:val="22"/>
          <w:szCs w:val="22"/>
        </w:rPr>
        <w:footnoteReference w:id="14"/>
      </w:r>
      <w:r w:rsidRPr="009559B2">
        <w:rPr>
          <w:rFonts w:cs="Calibri"/>
          <w:sz w:val="22"/>
          <w:szCs w:val="22"/>
        </w:rPr>
        <w:t xml:space="preserve"> </w:t>
      </w:r>
    </w:p>
    <w:p w14:paraId="6C31F316" w14:textId="77777777" w:rsidR="00456CA1" w:rsidRPr="009559B2" w:rsidRDefault="00456CA1" w:rsidP="00456CA1">
      <w:pPr>
        <w:jc w:val="both"/>
        <w:rPr>
          <w:rFonts w:cs="Calibri"/>
          <w:sz w:val="22"/>
          <w:szCs w:val="22"/>
        </w:rPr>
      </w:pPr>
      <w:r w:rsidRPr="009559B2">
        <w:rPr>
          <w:rFonts w:cs="Calibri"/>
          <w:sz w:val="22"/>
          <w:szCs w:val="22"/>
        </w:rPr>
        <w:t xml:space="preserve">WHM supports efforts to design mental health services and initiatives with gendered experiences in mind, including attention to the experiences of trans, non-binary and gender-diverse people, men and women. For this reason, we appreciate that the SIP has identified the LGBTIQA+ community as a priority population.  </w:t>
      </w:r>
    </w:p>
    <w:p w14:paraId="534786AE" w14:textId="77777777" w:rsidR="00456CA1" w:rsidRDefault="00456CA1" w:rsidP="00456CA1">
      <w:pPr>
        <w:jc w:val="both"/>
        <w:rPr>
          <w:rFonts w:cs="Calibri"/>
          <w:sz w:val="22"/>
          <w:szCs w:val="22"/>
        </w:rPr>
      </w:pPr>
      <w:r w:rsidRPr="009559B2">
        <w:rPr>
          <w:rFonts w:cs="Calibri"/>
          <w:sz w:val="22"/>
          <w:szCs w:val="22"/>
        </w:rPr>
        <w:t xml:space="preserve">In this submission, we draw on our role as the ACT peak body for women’s health and wellbeing to highlight the mental health experiences and needs of women. Our community research, health education and advocacy </w:t>
      </w:r>
      <w:proofErr w:type="gramStart"/>
      <w:r w:rsidRPr="009559B2">
        <w:rPr>
          <w:rFonts w:cs="Calibri"/>
          <w:sz w:val="22"/>
          <w:szCs w:val="22"/>
        </w:rPr>
        <w:t>aims</w:t>
      </w:r>
      <w:proofErr w:type="gramEnd"/>
      <w:r w:rsidRPr="009559B2">
        <w:rPr>
          <w:rFonts w:cs="Calibri"/>
          <w:sz w:val="22"/>
          <w:szCs w:val="22"/>
        </w:rPr>
        <w:t xml:space="preserve"> to include trans women, non-binary women, femme-identifying people and others who align themselves with these groups.</w:t>
      </w:r>
    </w:p>
    <w:p w14:paraId="7A06AC6E" w14:textId="77777777" w:rsidR="007B28DD" w:rsidRPr="009559B2" w:rsidRDefault="007B28DD" w:rsidP="00456CA1">
      <w:pPr>
        <w:jc w:val="both"/>
        <w:rPr>
          <w:rFonts w:cs="Calibri"/>
          <w:b/>
          <w:bCs/>
          <w:sz w:val="22"/>
          <w:szCs w:val="22"/>
        </w:rPr>
      </w:pPr>
    </w:p>
    <w:p w14:paraId="6D11F563" w14:textId="77777777" w:rsidR="00456CA1" w:rsidRPr="009559B2" w:rsidRDefault="00456CA1" w:rsidP="00456CA1">
      <w:pPr>
        <w:jc w:val="both"/>
        <w:rPr>
          <w:rFonts w:cs="Calibri"/>
          <w:b/>
          <w:bCs/>
          <w:sz w:val="22"/>
          <w:szCs w:val="22"/>
        </w:rPr>
      </w:pPr>
      <w:r w:rsidRPr="009559B2">
        <w:rPr>
          <w:rFonts w:cs="Calibri"/>
          <w:b/>
          <w:bCs/>
          <w:sz w:val="22"/>
          <w:szCs w:val="22"/>
        </w:rPr>
        <w:t xml:space="preserve">Mental health experiences and needs of women </w:t>
      </w:r>
    </w:p>
    <w:p w14:paraId="64FFD9DD" w14:textId="77777777" w:rsidR="00456CA1" w:rsidRPr="009559B2" w:rsidRDefault="00456CA1" w:rsidP="00456CA1">
      <w:pPr>
        <w:jc w:val="both"/>
        <w:rPr>
          <w:rFonts w:cs="Calibri"/>
          <w:sz w:val="22"/>
          <w:szCs w:val="22"/>
        </w:rPr>
      </w:pPr>
      <w:r w:rsidRPr="009559B2">
        <w:rPr>
          <w:rFonts w:cs="Calibri"/>
          <w:sz w:val="22"/>
          <w:szCs w:val="22"/>
        </w:rPr>
        <w:t xml:space="preserve">As the National Women’s Health strategy points out: </w:t>
      </w:r>
    </w:p>
    <w:p w14:paraId="4655D9B6" w14:textId="77777777" w:rsidR="00456CA1" w:rsidRPr="00665B5A" w:rsidRDefault="00456CA1" w:rsidP="00456CA1">
      <w:pPr>
        <w:ind w:left="720"/>
        <w:jc w:val="both"/>
        <w:rPr>
          <w:rFonts w:cs="Calibri"/>
          <w:sz w:val="22"/>
          <w:szCs w:val="22"/>
        </w:rPr>
      </w:pPr>
      <w:r w:rsidRPr="009559B2">
        <w:rPr>
          <w:rFonts w:cs="Calibri"/>
          <w:i/>
          <w:iCs/>
          <w:sz w:val="22"/>
          <w:szCs w:val="22"/>
        </w:rPr>
        <w:t xml:space="preserve">[A] variety of situations typically associated with women can lead to anxiety and depression. These </w:t>
      </w:r>
      <w:proofErr w:type="gramStart"/>
      <w:r w:rsidRPr="009559B2">
        <w:rPr>
          <w:rFonts w:cs="Calibri"/>
          <w:i/>
          <w:iCs/>
          <w:sz w:val="22"/>
          <w:szCs w:val="22"/>
        </w:rPr>
        <w:t>include;</w:t>
      </w:r>
      <w:proofErr w:type="gramEnd"/>
      <w:r w:rsidRPr="009559B2">
        <w:rPr>
          <w:rFonts w:cs="Calibri"/>
          <w:i/>
          <w:iCs/>
          <w:sz w:val="22"/>
          <w:szCs w:val="22"/>
        </w:rPr>
        <w:t xml:space="preserve"> infertility and perinatal loss, being a primary care giver, relationship breakdowns, violence or abuse, discrimination, unemployment or under-employment, isolation and socioeconomic disadvantage.</w:t>
      </w:r>
      <w:r w:rsidR="00665B5A">
        <w:rPr>
          <w:rStyle w:val="FootnoteReference"/>
          <w:rFonts w:cs="Calibri"/>
          <w:i/>
          <w:iCs/>
          <w:sz w:val="22"/>
          <w:szCs w:val="22"/>
        </w:rPr>
        <w:footnoteReference w:id="15"/>
      </w:r>
    </w:p>
    <w:p w14:paraId="668E0091" w14:textId="77777777" w:rsidR="000E294C" w:rsidRDefault="000E294C">
      <w:pPr>
        <w:rPr>
          <w:rFonts w:cs="Calibri"/>
          <w:sz w:val="22"/>
          <w:szCs w:val="22"/>
        </w:rPr>
      </w:pPr>
      <w:r>
        <w:rPr>
          <w:rFonts w:cs="Calibri"/>
          <w:sz w:val="22"/>
          <w:szCs w:val="22"/>
        </w:rPr>
        <w:br w:type="page"/>
      </w:r>
    </w:p>
    <w:p w14:paraId="70B8B8A1" w14:textId="77777777" w:rsidR="00456CA1" w:rsidRPr="009559B2" w:rsidRDefault="00456CA1" w:rsidP="00456CA1">
      <w:pPr>
        <w:jc w:val="both"/>
        <w:rPr>
          <w:rFonts w:cs="Calibri"/>
          <w:sz w:val="22"/>
          <w:szCs w:val="22"/>
        </w:rPr>
      </w:pPr>
      <w:r w:rsidRPr="009559B2">
        <w:rPr>
          <w:rFonts w:cs="Calibri"/>
          <w:sz w:val="22"/>
          <w:szCs w:val="22"/>
        </w:rPr>
        <w:lastRenderedPageBreak/>
        <w:t xml:space="preserve">At the broadest level, a significant proportion of women nationally experience mental health conditions: </w:t>
      </w:r>
    </w:p>
    <w:p w14:paraId="798FDF49" w14:textId="77777777" w:rsidR="00456CA1" w:rsidRPr="009559B2" w:rsidRDefault="00456CA1" w:rsidP="00456CA1">
      <w:pPr>
        <w:pStyle w:val="ListParagraph"/>
        <w:numPr>
          <w:ilvl w:val="0"/>
          <w:numId w:val="8"/>
        </w:numPr>
        <w:spacing w:line="279" w:lineRule="auto"/>
        <w:jc w:val="both"/>
        <w:rPr>
          <w:rFonts w:cs="Calibri"/>
          <w:sz w:val="22"/>
          <w:szCs w:val="22"/>
        </w:rPr>
      </w:pPr>
      <w:r w:rsidRPr="009559B2">
        <w:rPr>
          <w:rFonts w:cs="Calibri"/>
          <w:sz w:val="22"/>
          <w:szCs w:val="22"/>
        </w:rPr>
        <w:t>In 2021, the proportion of women aged 20–29 (16%) that reported being told by a doctor or nurse that they have a mental illness was double that of men in the same age group (8%)</w:t>
      </w:r>
      <w:r w:rsidR="00A85821">
        <w:rPr>
          <w:rFonts w:cs="Calibri"/>
          <w:sz w:val="22"/>
          <w:szCs w:val="22"/>
        </w:rPr>
        <w:t>.</w:t>
      </w:r>
      <w:r w:rsidR="00A85821">
        <w:rPr>
          <w:rStyle w:val="FootnoteReference"/>
          <w:rFonts w:cs="Calibri"/>
          <w:sz w:val="22"/>
          <w:szCs w:val="22"/>
        </w:rPr>
        <w:footnoteReference w:id="16"/>
      </w:r>
    </w:p>
    <w:p w14:paraId="1F75FBD1" w14:textId="77777777" w:rsidR="00456CA1" w:rsidRPr="009559B2" w:rsidRDefault="00456CA1" w:rsidP="00456CA1">
      <w:pPr>
        <w:pStyle w:val="ListParagraph"/>
        <w:numPr>
          <w:ilvl w:val="0"/>
          <w:numId w:val="8"/>
        </w:numPr>
        <w:spacing w:line="279" w:lineRule="auto"/>
        <w:jc w:val="both"/>
        <w:rPr>
          <w:rFonts w:cs="Calibri"/>
          <w:sz w:val="22"/>
          <w:szCs w:val="22"/>
        </w:rPr>
      </w:pPr>
      <w:r w:rsidRPr="009559B2">
        <w:rPr>
          <w:rFonts w:cs="Calibri"/>
          <w:sz w:val="22"/>
          <w:szCs w:val="22"/>
        </w:rPr>
        <w:t xml:space="preserve">It is estimated that approximately </w:t>
      </w:r>
      <w:r w:rsidR="00083398">
        <w:rPr>
          <w:rFonts w:cs="Calibri"/>
          <w:sz w:val="22"/>
          <w:szCs w:val="22"/>
        </w:rPr>
        <w:t xml:space="preserve">1 </w:t>
      </w:r>
      <w:r w:rsidRPr="009559B2">
        <w:rPr>
          <w:rFonts w:cs="Calibri"/>
          <w:sz w:val="22"/>
          <w:szCs w:val="22"/>
        </w:rPr>
        <w:t xml:space="preserve">in </w:t>
      </w:r>
      <w:r w:rsidR="00083398">
        <w:rPr>
          <w:rFonts w:cs="Calibri"/>
          <w:sz w:val="22"/>
          <w:szCs w:val="22"/>
        </w:rPr>
        <w:t xml:space="preserve">5 </w:t>
      </w:r>
      <w:r w:rsidRPr="009559B2">
        <w:rPr>
          <w:rFonts w:cs="Calibri"/>
          <w:sz w:val="22"/>
          <w:szCs w:val="22"/>
        </w:rPr>
        <w:t>women in Australia will experience depression and 1 in 3 women will experience anxiety during their lifetime</w:t>
      </w:r>
      <w:r w:rsidR="00083398">
        <w:rPr>
          <w:rFonts w:cs="Calibri"/>
          <w:sz w:val="22"/>
          <w:szCs w:val="22"/>
        </w:rPr>
        <w:t>.</w:t>
      </w:r>
      <w:r w:rsidR="00083398">
        <w:rPr>
          <w:rStyle w:val="FootnoteReference"/>
          <w:rFonts w:cs="Calibri"/>
          <w:sz w:val="22"/>
          <w:szCs w:val="22"/>
        </w:rPr>
        <w:footnoteReference w:id="17"/>
      </w:r>
    </w:p>
    <w:p w14:paraId="0C4A43FD" w14:textId="77777777" w:rsidR="00456CA1" w:rsidRPr="009559B2" w:rsidRDefault="00456CA1" w:rsidP="00456CA1">
      <w:pPr>
        <w:pStyle w:val="ListParagraph"/>
        <w:numPr>
          <w:ilvl w:val="0"/>
          <w:numId w:val="8"/>
        </w:numPr>
        <w:spacing w:line="279" w:lineRule="auto"/>
        <w:jc w:val="both"/>
        <w:rPr>
          <w:rFonts w:cs="Calibri"/>
          <w:sz w:val="22"/>
          <w:szCs w:val="22"/>
        </w:rPr>
      </w:pPr>
      <w:r w:rsidRPr="009559B2">
        <w:rPr>
          <w:rFonts w:cs="Calibri"/>
          <w:sz w:val="22"/>
          <w:szCs w:val="22"/>
        </w:rPr>
        <w:t>Women are twice as likely to experience depression compared with men</w:t>
      </w:r>
      <w:r w:rsidR="00236C05">
        <w:rPr>
          <w:rFonts w:cs="Calibri"/>
          <w:sz w:val="22"/>
          <w:szCs w:val="22"/>
        </w:rPr>
        <w:t>.</w:t>
      </w:r>
      <w:r w:rsidR="00236C05">
        <w:rPr>
          <w:rStyle w:val="FootnoteReference"/>
          <w:rFonts w:cs="Calibri"/>
          <w:sz w:val="22"/>
          <w:szCs w:val="22"/>
        </w:rPr>
        <w:footnoteReference w:id="18"/>
      </w:r>
    </w:p>
    <w:p w14:paraId="181F0A31" w14:textId="77777777" w:rsidR="00456CA1" w:rsidRPr="009559B2" w:rsidRDefault="00456CA1" w:rsidP="00456CA1">
      <w:pPr>
        <w:pStyle w:val="ListParagraph"/>
        <w:numPr>
          <w:ilvl w:val="0"/>
          <w:numId w:val="8"/>
        </w:numPr>
        <w:spacing w:line="279" w:lineRule="auto"/>
        <w:jc w:val="both"/>
        <w:rPr>
          <w:rFonts w:cs="Calibri"/>
          <w:sz w:val="22"/>
          <w:szCs w:val="22"/>
        </w:rPr>
      </w:pPr>
      <w:r w:rsidRPr="009559B2">
        <w:rPr>
          <w:rFonts w:cs="Calibri"/>
          <w:sz w:val="22"/>
          <w:szCs w:val="22"/>
        </w:rPr>
        <w:t>Women also experience post-traumatic stress disorder (PTSD) and eating disorders at higher rates than men.</w:t>
      </w:r>
      <w:r w:rsidR="00D71434">
        <w:rPr>
          <w:rStyle w:val="FootnoteReference"/>
          <w:rFonts w:cs="Calibri"/>
          <w:sz w:val="22"/>
          <w:szCs w:val="22"/>
        </w:rPr>
        <w:footnoteReference w:id="19"/>
      </w:r>
      <w:r w:rsidRPr="009559B2">
        <w:rPr>
          <w:rFonts w:cs="Calibri"/>
          <w:sz w:val="22"/>
          <w:szCs w:val="22"/>
        </w:rPr>
        <w:t xml:space="preserve"> </w:t>
      </w:r>
    </w:p>
    <w:p w14:paraId="79D6C600" w14:textId="77777777" w:rsidR="00456CA1" w:rsidRPr="009559B2" w:rsidRDefault="00456CA1" w:rsidP="00456CA1">
      <w:pPr>
        <w:jc w:val="both"/>
        <w:rPr>
          <w:rFonts w:cs="Calibri"/>
          <w:sz w:val="22"/>
          <w:szCs w:val="22"/>
        </w:rPr>
      </w:pPr>
      <w:r w:rsidRPr="009559B2">
        <w:rPr>
          <w:rFonts w:cs="Calibri"/>
          <w:sz w:val="22"/>
          <w:szCs w:val="22"/>
        </w:rPr>
        <w:t>Importantly, mental health concerns for women and girls extend across the lifespan, reaching beyond experiences of pregnancy and birth</w:t>
      </w:r>
      <w:r w:rsidR="0067673B">
        <w:rPr>
          <w:rFonts w:cs="Calibri"/>
          <w:sz w:val="22"/>
          <w:szCs w:val="22"/>
        </w:rPr>
        <w:t>.</w:t>
      </w:r>
      <w:r w:rsidR="0067673B">
        <w:rPr>
          <w:rStyle w:val="FootnoteReference"/>
          <w:rFonts w:cs="Calibri"/>
          <w:sz w:val="22"/>
          <w:szCs w:val="22"/>
        </w:rPr>
        <w:footnoteReference w:id="20"/>
      </w:r>
      <w:r w:rsidRPr="009559B2">
        <w:rPr>
          <w:rFonts w:cs="Calibri"/>
          <w:sz w:val="22"/>
          <w:szCs w:val="22"/>
        </w:rPr>
        <w:t xml:space="preserve"> These experiences include:</w:t>
      </w:r>
    </w:p>
    <w:p w14:paraId="3F76E3CA" w14:textId="77777777" w:rsidR="00456CA1" w:rsidRPr="009559B2" w:rsidRDefault="00456CA1" w:rsidP="00456CA1">
      <w:pPr>
        <w:pStyle w:val="ListParagraph"/>
        <w:numPr>
          <w:ilvl w:val="0"/>
          <w:numId w:val="8"/>
        </w:numPr>
        <w:spacing w:line="279" w:lineRule="auto"/>
        <w:jc w:val="both"/>
        <w:rPr>
          <w:rFonts w:cs="Calibri"/>
          <w:sz w:val="22"/>
          <w:szCs w:val="22"/>
        </w:rPr>
      </w:pPr>
      <w:r w:rsidRPr="009559B2">
        <w:rPr>
          <w:rFonts w:cs="Calibri"/>
          <w:sz w:val="22"/>
          <w:szCs w:val="22"/>
        </w:rPr>
        <w:t>Stress, anxiety, depression, self-harm, and eating disorders among school-age girls</w:t>
      </w:r>
    </w:p>
    <w:p w14:paraId="4F0D848A" w14:textId="77777777" w:rsidR="00456CA1" w:rsidRPr="009559B2" w:rsidRDefault="00456CA1" w:rsidP="00456CA1">
      <w:pPr>
        <w:pStyle w:val="ListParagraph"/>
        <w:numPr>
          <w:ilvl w:val="0"/>
          <w:numId w:val="8"/>
        </w:numPr>
        <w:spacing w:line="279" w:lineRule="auto"/>
        <w:jc w:val="both"/>
        <w:rPr>
          <w:rFonts w:cs="Calibri"/>
          <w:sz w:val="22"/>
          <w:szCs w:val="22"/>
        </w:rPr>
      </w:pPr>
      <w:r w:rsidRPr="009559B2">
        <w:rPr>
          <w:rFonts w:cs="Calibri"/>
          <w:sz w:val="22"/>
          <w:szCs w:val="22"/>
        </w:rPr>
        <w:t>High rates of sexual abuse and sexual assault against girls and young women</w:t>
      </w:r>
    </w:p>
    <w:p w14:paraId="54A278E6" w14:textId="77777777" w:rsidR="00456CA1" w:rsidRPr="009559B2" w:rsidRDefault="00456CA1" w:rsidP="00456CA1">
      <w:pPr>
        <w:pStyle w:val="ListParagraph"/>
        <w:numPr>
          <w:ilvl w:val="0"/>
          <w:numId w:val="8"/>
        </w:numPr>
        <w:spacing w:line="279" w:lineRule="auto"/>
        <w:jc w:val="both"/>
        <w:rPr>
          <w:rFonts w:cs="Calibri"/>
          <w:sz w:val="22"/>
          <w:szCs w:val="22"/>
        </w:rPr>
      </w:pPr>
      <w:r w:rsidRPr="009559B2">
        <w:rPr>
          <w:rFonts w:cs="Calibri"/>
          <w:sz w:val="22"/>
          <w:szCs w:val="22"/>
        </w:rPr>
        <w:t>Widespread experiences of violence generally against women and LGBTIQA+ people</w:t>
      </w:r>
    </w:p>
    <w:p w14:paraId="7804F66E" w14:textId="77777777" w:rsidR="00456CA1" w:rsidRPr="009559B2" w:rsidRDefault="00456CA1" w:rsidP="00456CA1">
      <w:pPr>
        <w:pStyle w:val="ListParagraph"/>
        <w:numPr>
          <w:ilvl w:val="0"/>
          <w:numId w:val="8"/>
        </w:numPr>
        <w:spacing w:line="279" w:lineRule="auto"/>
        <w:jc w:val="both"/>
        <w:rPr>
          <w:rFonts w:cs="Calibri"/>
          <w:sz w:val="22"/>
          <w:szCs w:val="22"/>
        </w:rPr>
      </w:pPr>
      <w:r w:rsidRPr="009559B2">
        <w:rPr>
          <w:rFonts w:cs="Calibri"/>
          <w:sz w:val="22"/>
          <w:szCs w:val="22"/>
        </w:rPr>
        <w:t xml:space="preserve">Perinatal loss </w:t>
      </w:r>
    </w:p>
    <w:p w14:paraId="716EC2DC" w14:textId="77777777" w:rsidR="00456CA1" w:rsidRPr="009559B2" w:rsidRDefault="00456CA1" w:rsidP="00456CA1">
      <w:pPr>
        <w:pStyle w:val="ListParagraph"/>
        <w:numPr>
          <w:ilvl w:val="0"/>
          <w:numId w:val="8"/>
        </w:numPr>
        <w:spacing w:line="279" w:lineRule="auto"/>
        <w:jc w:val="both"/>
        <w:rPr>
          <w:rFonts w:cs="Calibri"/>
          <w:sz w:val="22"/>
          <w:szCs w:val="22"/>
        </w:rPr>
      </w:pPr>
      <w:r w:rsidRPr="009559B2">
        <w:rPr>
          <w:rFonts w:cs="Calibri"/>
          <w:sz w:val="22"/>
          <w:szCs w:val="22"/>
        </w:rPr>
        <w:t>Perinatal depression, anxiety and other mental health concerns</w:t>
      </w:r>
    </w:p>
    <w:p w14:paraId="41365726" w14:textId="77777777" w:rsidR="00456CA1" w:rsidRPr="009559B2" w:rsidRDefault="00456CA1" w:rsidP="00456CA1">
      <w:pPr>
        <w:pStyle w:val="ListParagraph"/>
        <w:numPr>
          <w:ilvl w:val="0"/>
          <w:numId w:val="8"/>
        </w:numPr>
        <w:spacing w:line="279" w:lineRule="auto"/>
        <w:jc w:val="both"/>
        <w:rPr>
          <w:rFonts w:cs="Calibri"/>
          <w:sz w:val="22"/>
          <w:szCs w:val="22"/>
        </w:rPr>
      </w:pPr>
      <w:r w:rsidRPr="009559B2">
        <w:rPr>
          <w:rFonts w:cs="Calibri"/>
          <w:sz w:val="22"/>
          <w:szCs w:val="22"/>
        </w:rPr>
        <w:t xml:space="preserve">The mental health impacts of reproductive health conditions and symptoms of menopause/perimenopause </w:t>
      </w:r>
    </w:p>
    <w:p w14:paraId="5CBA35ED" w14:textId="77777777" w:rsidR="00456CA1" w:rsidRPr="009559B2" w:rsidRDefault="00456CA1" w:rsidP="00456CA1">
      <w:pPr>
        <w:pStyle w:val="ListParagraph"/>
        <w:numPr>
          <w:ilvl w:val="0"/>
          <w:numId w:val="8"/>
        </w:numPr>
        <w:spacing w:line="279" w:lineRule="auto"/>
        <w:jc w:val="both"/>
        <w:rPr>
          <w:rFonts w:cs="Calibri"/>
          <w:sz w:val="22"/>
          <w:szCs w:val="22"/>
        </w:rPr>
      </w:pPr>
      <w:r w:rsidRPr="009559B2">
        <w:rPr>
          <w:rFonts w:cs="Calibri"/>
          <w:sz w:val="22"/>
          <w:szCs w:val="22"/>
        </w:rPr>
        <w:t>Work stress, inequity and the impact of care responsibilities</w:t>
      </w:r>
    </w:p>
    <w:p w14:paraId="6EB3BF3A" w14:textId="77777777" w:rsidR="00456CA1" w:rsidRPr="009559B2" w:rsidRDefault="00456CA1" w:rsidP="00456CA1">
      <w:pPr>
        <w:pStyle w:val="ListParagraph"/>
        <w:numPr>
          <w:ilvl w:val="0"/>
          <w:numId w:val="8"/>
        </w:numPr>
        <w:spacing w:line="279" w:lineRule="auto"/>
        <w:jc w:val="both"/>
        <w:rPr>
          <w:rFonts w:cs="Calibri"/>
          <w:sz w:val="22"/>
          <w:szCs w:val="22"/>
        </w:rPr>
      </w:pPr>
      <w:r w:rsidRPr="009559B2">
        <w:rPr>
          <w:rFonts w:cs="Calibri"/>
          <w:sz w:val="22"/>
          <w:szCs w:val="22"/>
        </w:rPr>
        <w:t>High levels of psychological distress</w:t>
      </w:r>
    </w:p>
    <w:p w14:paraId="00BC1720" w14:textId="77777777" w:rsidR="00456CA1" w:rsidRPr="009559B2" w:rsidRDefault="00456CA1" w:rsidP="00456CA1">
      <w:pPr>
        <w:pStyle w:val="ListParagraph"/>
        <w:numPr>
          <w:ilvl w:val="0"/>
          <w:numId w:val="8"/>
        </w:numPr>
        <w:spacing w:line="279" w:lineRule="auto"/>
        <w:jc w:val="both"/>
        <w:rPr>
          <w:rFonts w:cs="Calibri"/>
          <w:sz w:val="22"/>
          <w:szCs w:val="22"/>
        </w:rPr>
      </w:pPr>
      <w:r w:rsidRPr="009559B2">
        <w:rPr>
          <w:rFonts w:cs="Calibri"/>
          <w:sz w:val="22"/>
          <w:szCs w:val="22"/>
        </w:rPr>
        <w:t xml:space="preserve">Physical and social isolation, especially for older women, women with disabilities and migrant and refugee women, and </w:t>
      </w:r>
    </w:p>
    <w:p w14:paraId="4ACFCE43" w14:textId="77777777" w:rsidR="00456CA1" w:rsidRPr="009559B2" w:rsidRDefault="00456CA1" w:rsidP="00456CA1">
      <w:pPr>
        <w:pStyle w:val="ListParagraph"/>
        <w:numPr>
          <w:ilvl w:val="0"/>
          <w:numId w:val="8"/>
        </w:numPr>
        <w:spacing w:line="279" w:lineRule="auto"/>
        <w:jc w:val="both"/>
        <w:rPr>
          <w:rFonts w:cs="Calibri"/>
          <w:sz w:val="22"/>
          <w:szCs w:val="22"/>
        </w:rPr>
      </w:pPr>
      <w:r w:rsidRPr="009559B2">
        <w:rPr>
          <w:rFonts w:cs="Calibri"/>
          <w:sz w:val="22"/>
          <w:szCs w:val="22"/>
        </w:rPr>
        <w:t>Financial stress</w:t>
      </w:r>
    </w:p>
    <w:p w14:paraId="2128BD8E" w14:textId="77777777" w:rsidR="007B28DD" w:rsidRDefault="007B28DD" w:rsidP="00456CA1">
      <w:pPr>
        <w:rPr>
          <w:rFonts w:cs="Calibri"/>
          <w:b/>
          <w:bCs/>
          <w:sz w:val="22"/>
          <w:szCs w:val="22"/>
        </w:rPr>
      </w:pPr>
    </w:p>
    <w:p w14:paraId="32FCAE07" w14:textId="77777777" w:rsidR="000E294C" w:rsidRDefault="000E294C">
      <w:pPr>
        <w:rPr>
          <w:rFonts w:cs="Calibri"/>
          <w:b/>
          <w:bCs/>
          <w:sz w:val="22"/>
          <w:szCs w:val="22"/>
        </w:rPr>
      </w:pPr>
      <w:r>
        <w:rPr>
          <w:rFonts w:cs="Calibri"/>
          <w:b/>
          <w:bCs/>
          <w:sz w:val="22"/>
          <w:szCs w:val="22"/>
        </w:rPr>
        <w:br w:type="page"/>
      </w:r>
    </w:p>
    <w:p w14:paraId="22AD1A49" w14:textId="77777777" w:rsidR="00456CA1" w:rsidRPr="009559B2" w:rsidRDefault="00456CA1" w:rsidP="00456CA1">
      <w:pPr>
        <w:rPr>
          <w:rFonts w:cs="Calibri"/>
          <w:sz w:val="22"/>
          <w:szCs w:val="22"/>
        </w:rPr>
      </w:pPr>
      <w:r w:rsidRPr="009559B2">
        <w:rPr>
          <w:rFonts w:cs="Calibri"/>
          <w:b/>
          <w:bCs/>
          <w:sz w:val="22"/>
          <w:szCs w:val="22"/>
        </w:rPr>
        <w:lastRenderedPageBreak/>
        <w:t>Impacts of gender-based violence</w:t>
      </w:r>
    </w:p>
    <w:p w14:paraId="65D630E4" w14:textId="77777777" w:rsidR="00456CA1" w:rsidRPr="009559B2" w:rsidRDefault="00456CA1" w:rsidP="00456CA1">
      <w:pPr>
        <w:jc w:val="both"/>
        <w:rPr>
          <w:rFonts w:cs="Calibri"/>
          <w:sz w:val="22"/>
          <w:szCs w:val="22"/>
        </w:rPr>
      </w:pPr>
      <w:r w:rsidRPr="009559B2">
        <w:rPr>
          <w:rFonts w:cs="Calibri"/>
          <w:sz w:val="22"/>
          <w:szCs w:val="22"/>
        </w:rPr>
        <w:t xml:space="preserve">There is increasing evidence about the mental health impacts of gender-based </w:t>
      </w:r>
      <w:proofErr w:type="gramStart"/>
      <w:r w:rsidRPr="009559B2">
        <w:rPr>
          <w:rFonts w:cs="Calibri"/>
          <w:sz w:val="22"/>
          <w:szCs w:val="22"/>
        </w:rPr>
        <w:t>violence, and</w:t>
      </w:r>
      <w:proofErr w:type="gramEnd"/>
      <w:r w:rsidRPr="009559B2">
        <w:rPr>
          <w:rFonts w:cs="Calibri"/>
          <w:sz w:val="22"/>
          <w:szCs w:val="22"/>
        </w:rPr>
        <w:t xml:space="preserve"> increasing understanding of the need to support people to recover from experiences of violence, not only in moments of crisis but in the years beyond and across all decades of the lifespan. </w:t>
      </w:r>
    </w:p>
    <w:p w14:paraId="651E9AE1" w14:textId="77777777" w:rsidR="007B28DD" w:rsidRDefault="00456CA1" w:rsidP="000E294C">
      <w:pPr>
        <w:jc w:val="both"/>
        <w:rPr>
          <w:rFonts w:cs="Calibri"/>
          <w:i/>
          <w:iCs/>
          <w:sz w:val="22"/>
          <w:szCs w:val="22"/>
        </w:rPr>
      </w:pPr>
      <w:r w:rsidRPr="009559B2">
        <w:rPr>
          <w:rFonts w:cs="Calibri"/>
          <w:sz w:val="22"/>
          <w:szCs w:val="22"/>
        </w:rPr>
        <w:t>Intimate partner violence contributes more to the burden of disease for women aged 18-44 years than any other risk factor (and more than well-known risk factors including tobacco use or high cholesterol).</w:t>
      </w:r>
      <w:r w:rsidR="008465D6">
        <w:rPr>
          <w:rStyle w:val="FootnoteReference"/>
          <w:rFonts w:cs="Calibri"/>
          <w:sz w:val="22"/>
          <w:szCs w:val="22"/>
        </w:rPr>
        <w:footnoteReference w:id="21"/>
      </w:r>
      <w:r w:rsidRPr="009559B2">
        <w:rPr>
          <w:rFonts w:cs="Calibri"/>
          <w:sz w:val="22"/>
          <w:szCs w:val="22"/>
        </w:rPr>
        <w:t xml:space="preserve"> In a large literature review, ANROWS found strong evidence that IPV results in depression and anxiety among women in Australia</w:t>
      </w:r>
      <w:r w:rsidR="00E65867">
        <w:rPr>
          <w:rFonts w:cs="Calibri"/>
          <w:sz w:val="22"/>
          <w:szCs w:val="22"/>
        </w:rPr>
        <w:t>.</w:t>
      </w:r>
      <w:r w:rsidR="00E65867">
        <w:rPr>
          <w:rStyle w:val="FootnoteReference"/>
          <w:rFonts w:cs="Calibri"/>
          <w:sz w:val="22"/>
          <w:szCs w:val="22"/>
        </w:rPr>
        <w:footnoteReference w:id="22"/>
      </w:r>
      <w:r w:rsidRPr="009559B2">
        <w:rPr>
          <w:rFonts w:cs="Calibri"/>
          <w:sz w:val="22"/>
          <w:szCs w:val="22"/>
        </w:rPr>
        <w:t xml:space="preserve"> </w:t>
      </w:r>
    </w:p>
    <w:p w14:paraId="622893D6" w14:textId="77777777" w:rsidR="00456CA1" w:rsidRPr="00A53A10" w:rsidRDefault="00456CA1" w:rsidP="00456CA1">
      <w:pPr>
        <w:ind w:left="720"/>
        <w:jc w:val="both"/>
        <w:rPr>
          <w:rFonts w:cs="Calibri"/>
          <w:sz w:val="22"/>
          <w:szCs w:val="22"/>
        </w:rPr>
      </w:pPr>
      <w:r w:rsidRPr="009559B2">
        <w:rPr>
          <w:rFonts w:cs="Calibri"/>
          <w:i/>
          <w:iCs/>
          <w:sz w:val="22"/>
          <w:szCs w:val="22"/>
        </w:rPr>
        <w:t xml:space="preserve">Of the diseases included in [ANROWS] study, </w:t>
      </w:r>
      <w:r w:rsidRPr="000D4290">
        <w:rPr>
          <w:rFonts w:cs="Calibri"/>
          <w:i/>
          <w:iCs/>
          <w:sz w:val="22"/>
          <w:szCs w:val="22"/>
          <w:u w:val="single"/>
        </w:rPr>
        <w:t>the largest proportion of the intimate partner violence burden in women was due to mental health conditions</w:t>
      </w:r>
      <w:r w:rsidRPr="009559B2">
        <w:rPr>
          <w:rFonts w:cs="Calibri"/>
          <w:i/>
          <w:iCs/>
          <w:sz w:val="22"/>
          <w:szCs w:val="22"/>
        </w:rPr>
        <w:t>, including depressive disorders and anxiety disorders. Together these two diseases were estimated to account for around 70% of the burden in both age groups.</w:t>
      </w:r>
      <w:r w:rsidR="00A53A10">
        <w:rPr>
          <w:rStyle w:val="FootnoteReference"/>
          <w:rFonts w:cs="Calibri"/>
          <w:i/>
          <w:iCs/>
          <w:sz w:val="22"/>
          <w:szCs w:val="22"/>
        </w:rPr>
        <w:footnoteReference w:id="23"/>
      </w:r>
      <w:r w:rsidR="000D4290">
        <w:rPr>
          <w:rFonts w:cs="Calibri"/>
          <w:i/>
          <w:iCs/>
          <w:sz w:val="22"/>
          <w:szCs w:val="22"/>
        </w:rPr>
        <w:t xml:space="preserve"> [emphasis added]</w:t>
      </w:r>
    </w:p>
    <w:p w14:paraId="49BC5A60" w14:textId="77777777" w:rsidR="00456CA1" w:rsidRPr="009559B2" w:rsidRDefault="00456CA1" w:rsidP="00456CA1">
      <w:pPr>
        <w:jc w:val="both"/>
        <w:rPr>
          <w:rFonts w:cs="Calibri"/>
          <w:sz w:val="22"/>
          <w:szCs w:val="22"/>
        </w:rPr>
      </w:pPr>
      <w:r w:rsidRPr="009559B2">
        <w:rPr>
          <w:rFonts w:cs="Calibri"/>
          <w:sz w:val="22"/>
          <w:szCs w:val="22"/>
        </w:rPr>
        <w:t>A major longitudinal study of the prevalence and impact of sexual violence in Australia found that experiencing sexual violence at any stage increased the risk of financial stress, adverse health behaviours, and poor physical and mental health, and that sexual violence in childhood is a risk factor for later violence.</w:t>
      </w:r>
      <w:r w:rsidR="00E402D4">
        <w:rPr>
          <w:rStyle w:val="FootnoteReference"/>
          <w:rFonts w:cs="Calibri"/>
          <w:sz w:val="22"/>
          <w:szCs w:val="22"/>
        </w:rPr>
        <w:footnoteReference w:id="24"/>
      </w:r>
      <w:r w:rsidRPr="009559B2">
        <w:rPr>
          <w:rFonts w:cs="Calibri"/>
          <w:sz w:val="22"/>
          <w:szCs w:val="22"/>
        </w:rPr>
        <w:t xml:space="preserve"> </w:t>
      </w:r>
    </w:p>
    <w:p w14:paraId="59E3E259" w14:textId="77777777" w:rsidR="00456CA1" w:rsidRPr="009559B2" w:rsidRDefault="00456CA1" w:rsidP="00456CA1">
      <w:pPr>
        <w:jc w:val="both"/>
        <w:rPr>
          <w:rFonts w:cs="Calibri"/>
          <w:sz w:val="22"/>
          <w:szCs w:val="22"/>
        </w:rPr>
      </w:pPr>
      <w:r w:rsidRPr="009559B2">
        <w:rPr>
          <w:rFonts w:cs="Calibri"/>
          <w:sz w:val="22"/>
          <w:szCs w:val="22"/>
        </w:rPr>
        <w:t xml:space="preserve">The study also found that sexual violence is much more widespread than previously reported, especially among younger women. Working with the established age cohorts of the Australian Longitudinal Study on Women’s Health (ALSWH), the study found that the lifetime prevalence of women in Australia experiencing sexual violence was: </w:t>
      </w:r>
    </w:p>
    <w:p w14:paraId="166F697E" w14:textId="77777777" w:rsidR="00456CA1" w:rsidRPr="009559B2" w:rsidRDefault="00456CA1" w:rsidP="00456CA1">
      <w:pPr>
        <w:pStyle w:val="ListParagraph"/>
        <w:numPr>
          <w:ilvl w:val="0"/>
          <w:numId w:val="8"/>
        </w:numPr>
        <w:spacing w:line="279" w:lineRule="auto"/>
        <w:jc w:val="both"/>
        <w:rPr>
          <w:rFonts w:cs="Calibri"/>
          <w:sz w:val="22"/>
          <w:szCs w:val="22"/>
        </w:rPr>
      </w:pPr>
      <w:r w:rsidRPr="009559B2">
        <w:rPr>
          <w:rFonts w:cs="Calibri"/>
          <w:sz w:val="22"/>
          <w:szCs w:val="22"/>
        </w:rPr>
        <w:t xml:space="preserve">51% of women in their twenties </w:t>
      </w:r>
    </w:p>
    <w:p w14:paraId="4B2ED599" w14:textId="77777777" w:rsidR="00456CA1" w:rsidRPr="009559B2" w:rsidRDefault="00456CA1" w:rsidP="00456CA1">
      <w:pPr>
        <w:pStyle w:val="ListParagraph"/>
        <w:numPr>
          <w:ilvl w:val="0"/>
          <w:numId w:val="8"/>
        </w:numPr>
        <w:spacing w:line="279" w:lineRule="auto"/>
        <w:jc w:val="both"/>
        <w:rPr>
          <w:rFonts w:cs="Calibri"/>
          <w:sz w:val="22"/>
          <w:szCs w:val="22"/>
        </w:rPr>
      </w:pPr>
      <w:r w:rsidRPr="009559B2">
        <w:rPr>
          <w:rFonts w:cs="Calibri"/>
          <w:sz w:val="22"/>
          <w:szCs w:val="22"/>
        </w:rPr>
        <w:t xml:space="preserve">34% of women in their forties </w:t>
      </w:r>
    </w:p>
    <w:p w14:paraId="5EC52BB7" w14:textId="77777777" w:rsidR="00456CA1" w:rsidRPr="009559B2" w:rsidRDefault="00456CA1" w:rsidP="00456CA1">
      <w:pPr>
        <w:pStyle w:val="ListParagraph"/>
        <w:numPr>
          <w:ilvl w:val="0"/>
          <w:numId w:val="8"/>
        </w:numPr>
        <w:spacing w:line="279" w:lineRule="auto"/>
        <w:jc w:val="both"/>
        <w:rPr>
          <w:rFonts w:cs="Calibri"/>
          <w:sz w:val="22"/>
          <w:szCs w:val="22"/>
        </w:rPr>
      </w:pPr>
      <w:r w:rsidRPr="009559B2">
        <w:rPr>
          <w:rFonts w:cs="Calibri"/>
          <w:sz w:val="22"/>
          <w:szCs w:val="22"/>
        </w:rPr>
        <w:t>26% per cent of women aged 68 to 73.</w:t>
      </w:r>
      <w:r w:rsidR="0051331F">
        <w:rPr>
          <w:rStyle w:val="FootnoteReference"/>
          <w:rFonts w:cs="Calibri"/>
          <w:sz w:val="22"/>
          <w:szCs w:val="22"/>
        </w:rPr>
        <w:footnoteReference w:id="25"/>
      </w:r>
    </w:p>
    <w:p w14:paraId="4D2B0337" w14:textId="77777777" w:rsidR="002A7BDB" w:rsidRDefault="00456CA1" w:rsidP="000E294C">
      <w:pPr>
        <w:jc w:val="both"/>
        <w:rPr>
          <w:rFonts w:cs="Calibri"/>
          <w:sz w:val="22"/>
          <w:szCs w:val="22"/>
        </w:rPr>
      </w:pPr>
      <w:r w:rsidRPr="009559B2">
        <w:rPr>
          <w:rFonts w:cs="Calibri"/>
          <w:sz w:val="22"/>
          <w:szCs w:val="22"/>
        </w:rPr>
        <w:lastRenderedPageBreak/>
        <w:t xml:space="preserve">Importantly, </w:t>
      </w:r>
      <w:r w:rsidR="005140EE">
        <w:rPr>
          <w:rFonts w:cs="Calibri"/>
          <w:sz w:val="22"/>
          <w:szCs w:val="22"/>
        </w:rPr>
        <w:t xml:space="preserve">this </w:t>
      </w:r>
      <w:r w:rsidRPr="009559B2">
        <w:rPr>
          <w:rFonts w:cs="Calibri"/>
          <w:sz w:val="22"/>
          <w:szCs w:val="22"/>
        </w:rPr>
        <w:t>study found that social support, mental health service use and physical activity were indicated as potentially beneficial to wellbeing among women who had experienced sexual violence.</w:t>
      </w:r>
      <w:r w:rsidR="003F2AC6">
        <w:rPr>
          <w:rStyle w:val="FootnoteReference"/>
          <w:rFonts w:cs="Calibri"/>
          <w:sz w:val="22"/>
          <w:szCs w:val="22"/>
        </w:rPr>
        <w:footnoteReference w:id="26"/>
      </w:r>
      <w:r w:rsidRPr="009559B2">
        <w:rPr>
          <w:rFonts w:cs="Calibri"/>
          <w:sz w:val="22"/>
          <w:szCs w:val="22"/>
        </w:rPr>
        <w:t xml:space="preserve"> Given the extremely widespread nature of sexual violence, it would make sense for mental health policy and commissioning to be attuned to the need to address the support needs of women who have had or are having these experiences. </w:t>
      </w:r>
    </w:p>
    <w:p w14:paraId="062738DD" w14:textId="77777777" w:rsidR="000E294C" w:rsidRDefault="000E294C" w:rsidP="000E294C">
      <w:pPr>
        <w:jc w:val="both"/>
        <w:rPr>
          <w:rFonts w:cs="Calibri"/>
          <w:b/>
          <w:bCs/>
          <w:color w:val="000000" w:themeColor="text1"/>
          <w:sz w:val="22"/>
          <w:szCs w:val="22"/>
        </w:rPr>
      </w:pPr>
    </w:p>
    <w:p w14:paraId="29BD2EA2" w14:textId="77777777" w:rsidR="00456CA1" w:rsidRPr="009559B2" w:rsidRDefault="00456CA1" w:rsidP="00456CA1">
      <w:pPr>
        <w:jc w:val="both"/>
        <w:rPr>
          <w:rFonts w:cs="Calibri"/>
          <w:b/>
          <w:bCs/>
          <w:color w:val="000000" w:themeColor="text1"/>
          <w:sz w:val="22"/>
          <w:szCs w:val="22"/>
        </w:rPr>
      </w:pPr>
      <w:r w:rsidRPr="009559B2">
        <w:rPr>
          <w:rFonts w:cs="Calibri"/>
          <w:b/>
          <w:bCs/>
          <w:color w:val="000000" w:themeColor="text1"/>
          <w:sz w:val="22"/>
          <w:szCs w:val="22"/>
        </w:rPr>
        <w:t xml:space="preserve">Findings from </w:t>
      </w:r>
      <w:r w:rsidR="000D4290">
        <w:rPr>
          <w:rFonts w:cs="Calibri"/>
          <w:b/>
          <w:bCs/>
          <w:color w:val="000000" w:themeColor="text1"/>
          <w:sz w:val="22"/>
          <w:szCs w:val="22"/>
        </w:rPr>
        <w:t>the Survey of Women’s Health in the ACT</w:t>
      </w:r>
    </w:p>
    <w:p w14:paraId="59B2C71B" w14:textId="77777777" w:rsidR="00456CA1" w:rsidRPr="009559B2" w:rsidRDefault="00456CA1" w:rsidP="00456CA1">
      <w:pPr>
        <w:jc w:val="both"/>
        <w:rPr>
          <w:rFonts w:cs="Calibri"/>
          <w:color w:val="000000" w:themeColor="text1"/>
          <w:sz w:val="22"/>
          <w:szCs w:val="22"/>
        </w:rPr>
      </w:pPr>
      <w:r w:rsidRPr="009559B2">
        <w:rPr>
          <w:rFonts w:cs="Calibri"/>
          <w:color w:val="000000" w:themeColor="text1"/>
          <w:sz w:val="22"/>
          <w:szCs w:val="22"/>
        </w:rPr>
        <w:t>Women’s Health Matters has run two waves of a major Survey of Women’s Health in the ACT,</w:t>
      </w:r>
      <w:r w:rsidR="006F5441">
        <w:rPr>
          <w:rStyle w:val="FootnoteReference"/>
          <w:rFonts w:cs="Calibri"/>
          <w:color w:val="000000" w:themeColor="text1"/>
          <w:sz w:val="22"/>
          <w:szCs w:val="22"/>
        </w:rPr>
        <w:footnoteReference w:id="27"/>
      </w:r>
      <w:r w:rsidRPr="009559B2">
        <w:rPr>
          <w:rFonts w:cs="Calibri"/>
          <w:color w:val="000000" w:themeColor="text1"/>
          <w:sz w:val="22"/>
          <w:szCs w:val="22"/>
        </w:rPr>
        <w:t xml:space="preserve"> collecting 1668 responses in 2022-23 and 1319 responses in 2024-25. Questions in the survey ranged across several topics including general health, mental health, health service use, access and experiences, sexual and reproductive health, contraception, pregnancy and birth, beliefs about abortion, healthcare discrimination, violence and safety, financial stress and demographic characteristics. </w:t>
      </w:r>
    </w:p>
    <w:p w14:paraId="3A8D30E0" w14:textId="77777777" w:rsidR="000D4290" w:rsidRDefault="00456CA1" w:rsidP="008B0E62">
      <w:pPr>
        <w:jc w:val="both"/>
        <w:rPr>
          <w:rFonts w:cs="Calibri"/>
          <w:color w:val="000000" w:themeColor="text1"/>
          <w:sz w:val="22"/>
          <w:szCs w:val="22"/>
        </w:rPr>
      </w:pPr>
      <w:r w:rsidRPr="009559B2">
        <w:rPr>
          <w:rFonts w:cs="Calibri"/>
          <w:color w:val="000000" w:themeColor="text1"/>
          <w:sz w:val="22"/>
          <w:szCs w:val="22"/>
        </w:rPr>
        <w:t>We have yet to conduct deeper analysis of the 2024-25 data to unpack relationships with demographic and other factors, but we have begun to develop high level findings, which are presented here.</w:t>
      </w:r>
    </w:p>
    <w:p w14:paraId="5598C196" w14:textId="77777777" w:rsidR="008B0E62" w:rsidRDefault="008B0E62" w:rsidP="008B0E62">
      <w:pPr>
        <w:jc w:val="both"/>
        <w:rPr>
          <w:rFonts w:cs="Calibri"/>
          <w:color w:val="000000" w:themeColor="text1"/>
          <w:sz w:val="22"/>
          <w:szCs w:val="22"/>
        </w:rPr>
      </w:pPr>
    </w:p>
    <w:p w14:paraId="60478AE1" w14:textId="77777777" w:rsidR="00456CA1" w:rsidRPr="009559B2" w:rsidRDefault="00456CA1" w:rsidP="00456CA1">
      <w:pPr>
        <w:jc w:val="both"/>
        <w:rPr>
          <w:rFonts w:cs="Calibri"/>
          <w:i/>
          <w:iCs/>
          <w:color w:val="000000" w:themeColor="text1"/>
          <w:sz w:val="22"/>
          <w:szCs w:val="22"/>
        </w:rPr>
      </w:pPr>
      <w:r w:rsidRPr="009559B2">
        <w:rPr>
          <w:rFonts w:cs="Calibri"/>
          <w:i/>
          <w:iCs/>
          <w:color w:val="000000" w:themeColor="text1"/>
          <w:sz w:val="22"/>
          <w:szCs w:val="22"/>
        </w:rPr>
        <w:t>Psychological distress and mental health conditions</w:t>
      </w:r>
    </w:p>
    <w:p w14:paraId="33A7CF74" w14:textId="77777777" w:rsidR="00456CA1" w:rsidRPr="009559B2" w:rsidRDefault="000D4290" w:rsidP="00456CA1">
      <w:pPr>
        <w:jc w:val="both"/>
        <w:rPr>
          <w:rFonts w:cs="Calibri"/>
          <w:color w:val="000000" w:themeColor="text1"/>
          <w:sz w:val="22"/>
          <w:szCs w:val="22"/>
        </w:rPr>
      </w:pPr>
      <w:r>
        <w:rPr>
          <w:rFonts w:cs="Calibri"/>
          <w:color w:val="000000" w:themeColor="text1"/>
          <w:sz w:val="22"/>
          <w:szCs w:val="22"/>
        </w:rPr>
        <w:t>In our survey we</w:t>
      </w:r>
      <w:r w:rsidR="00456CA1" w:rsidRPr="009559B2">
        <w:rPr>
          <w:rFonts w:cs="Calibri"/>
          <w:color w:val="000000" w:themeColor="text1"/>
          <w:sz w:val="22"/>
          <w:szCs w:val="22"/>
        </w:rPr>
        <w:t xml:space="preserve"> found that experiences of psychological distress and mental health conditions were widespread: </w:t>
      </w:r>
    </w:p>
    <w:p w14:paraId="47CE5654" w14:textId="77777777" w:rsidR="00456CA1" w:rsidRPr="009559B2" w:rsidRDefault="00456CA1" w:rsidP="00456CA1">
      <w:pPr>
        <w:pStyle w:val="ListParagraph"/>
        <w:numPr>
          <w:ilvl w:val="0"/>
          <w:numId w:val="8"/>
        </w:numPr>
        <w:spacing w:line="279" w:lineRule="auto"/>
        <w:rPr>
          <w:sz w:val="22"/>
          <w:szCs w:val="22"/>
        </w:rPr>
      </w:pPr>
      <w:r w:rsidRPr="009559B2">
        <w:rPr>
          <w:sz w:val="22"/>
          <w:szCs w:val="22"/>
        </w:rPr>
        <w:t>In our most recent survey (2024-25), two thirds of respondents (875) indicated they had been treated for or diagnosed with a mental health condition at some time in their lives</w:t>
      </w:r>
    </w:p>
    <w:p w14:paraId="51D2AF67" w14:textId="77777777" w:rsidR="00456CA1" w:rsidRPr="009559B2" w:rsidRDefault="00456CA1" w:rsidP="00456CA1">
      <w:pPr>
        <w:pStyle w:val="ListParagraph"/>
        <w:numPr>
          <w:ilvl w:val="0"/>
          <w:numId w:val="8"/>
        </w:numPr>
        <w:spacing w:line="279" w:lineRule="auto"/>
        <w:rPr>
          <w:sz w:val="22"/>
          <w:szCs w:val="22"/>
        </w:rPr>
      </w:pPr>
      <w:r w:rsidRPr="009559B2">
        <w:rPr>
          <w:sz w:val="22"/>
          <w:szCs w:val="22"/>
        </w:rPr>
        <w:t xml:space="preserve">Almost half (656) had been treated or diagnosed in the last two years. </w:t>
      </w:r>
    </w:p>
    <w:p w14:paraId="1A9FE8EC" w14:textId="77777777" w:rsidR="00456CA1" w:rsidRPr="009559B2" w:rsidRDefault="00456CA1" w:rsidP="00456CA1">
      <w:pPr>
        <w:pStyle w:val="ListParagraph"/>
        <w:numPr>
          <w:ilvl w:val="0"/>
          <w:numId w:val="8"/>
        </w:numPr>
        <w:spacing w:line="279" w:lineRule="auto"/>
        <w:rPr>
          <w:sz w:val="22"/>
          <w:szCs w:val="22"/>
        </w:rPr>
      </w:pPr>
      <w:r w:rsidRPr="009559B2">
        <w:rPr>
          <w:sz w:val="22"/>
          <w:szCs w:val="22"/>
        </w:rPr>
        <w:t>Consistent with other national and local survey, depression and anxiety are the most widely reported mental health conditions in our survey.</w:t>
      </w:r>
    </w:p>
    <w:p w14:paraId="03B76BCC" w14:textId="77777777" w:rsidR="00456CA1" w:rsidRPr="009559B2" w:rsidRDefault="00456CA1" w:rsidP="00456CA1">
      <w:pPr>
        <w:rPr>
          <w:sz w:val="22"/>
          <w:szCs w:val="22"/>
        </w:rPr>
      </w:pPr>
      <w:r w:rsidRPr="009559B2">
        <w:rPr>
          <w:sz w:val="22"/>
          <w:szCs w:val="22"/>
        </w:rPr>
        <w:t>We also used The Kessler Psychological Distress scale (K6). This is a measure of psychological distress developed by Kessler et al (2002). The results are used to indicate whether the person is likely to have a serious mental illness.</w:t>
      </w:r>
    </w:p>
    <w:p w14:paraId="2EAF1E38" w14:textId="77777777" w:rsidR="00456CA1" w:rsidRPr="009559B2" w:rsidRDefault="00456CA1" w:rsidP="00456CA1">
      <w:pPr>
        <w:pStyle w:val="ListParagraph"/>
        <w:numPr>
          <w:ilvl w:val="0"/>
          <w:numId w:val="8"/>
        </w:numPr>
        <w:spacing w:line="279" w:lineRule="auto"/>
        <w:rPr>
          <w:sz w:val="22"/>
          <w:szCs w:val="22"/>
        </w:rPr>
      </w:pPr>
      <w:r w:rsidRPr="009559B2">
        <w:rPr>
          <w:sz w:val="22"/>
          <w:szCs w:val="22"/>
        </w:rPr>
        <w:t>Our 2024-25 survey found that around 20% of respondents had a K6 score indica</w:t>
      </w:r>
      <w:r w:rsidRPr="009559B2">
        <w:rPr>
          <w:rFonts w:cs="Aptos"/>
          <w:sz w:val="22"/>
          <w:szCs w:val="22"/>
        </w:rPr>
        <w:t>ti</w:t>
      </w:r>
      <w:r w:rsidRPr="009559B2">
        <w:rPr>
          <w:sz w:val="22"/>
          <w:szCs w:val="22"/>
        </w:rPr>
        <w:t xml:space="preserve">ng probable serious mental illness. </w:t>
      </w:r>
    </w:p>
    <w:p w14:paraId="0F270B29" w14:textId="77777777" w:rsidR="00456CA1" w:rsidRPr="009559B2" w:rsidRDefault="00456CA1" w:rsidP="00456CA1">
      <w:pPr>
        <w:pStyle w:val="ListParagraph"/>
        <w:numPr>
          <w:ilvl w:val="0"/>
          <w:numId w:val="8"/>
        </w:numPr>
        <w:spacing w:line="279" w:lineRule="auto"/>
        <w:rPr>
          <w:sz w:val="22"/>
          <w:szCs w:val="22"/>
        </w:rPr>
      </w:pPr>
      <w:r w:rsidRPr="009559B2">
        <w:rPr>
          <w:sz w:val="22"/>
          <w:szCs w:val="22"/>
        </w:rPr>
        <w:t>This is a higher rate of psychological distress than found by the ACT General Health Survey.</w:t>
      </w:r>
    </w:p>
    <w:p w14:paraId="67E3DBF0" w14:textId="77777777" w:rsidR="00456CA1" w:rsidRPr="009559B2" w:rsidRDefault="00456CA1" w:rsidP="00456CA1">
      <w:pPr>
        <w:pStyle w:val="ListParagraph"/>
        <w:numPr>
          <w:ilvl w:val="0"/>
          <w:numId w:val="8"/>
        </w:numPr>
        <w:spacing w:line="279" w:lineRule="auto"/>
        <w:rPr>
          <w:sz w:val="22"/>
          <w:szCs w:val="22"/>
        </w:rPr>
      </w:pPr>
      <w:r w:rsidRPr="009559B2">
        <w:rPr>
          <w:sz w:val="22"/>
          <w:szCs w:val="22"/>
        </w:rPr>
        <w:t>By comparison, the 2021 ACT General Health Survey found that 5.6% of female people surveyed had a K6 score indicating probable serious mental illness.</w:t>
      </w:r>
    </w:p>
    <w:p w14:paraId="2B79814C" w14:textId="77777777" w:rsidR="00456CA1" w:rsidRPr="009559B2" w:rsidRDefault="00456CA1" w:rsidP="00456CA1">
      <w:pPr>
        <w:pStyle w:val="ListParagraph"/>
        <w:numPr>
          <w:ilvl w:val="0"/>
          <w:numId w:val="8"/>
        </w:numPr>
        <w:spacing w:line="279" w:lineRule="auto"/>
        <w:rPr>
          <w:sz w:val="22"/>
          <w:szCs w:val="22"/>
        </w:rPr>
      </w:pPr>
      <w:r w:rsidRPr="009559B2">
        <w:rPr>
          <w:sz w:val="22"/>
          <w:szCs w:val="22"/>
        </w:rPr>
        <w:lastRenderedPageBreak/>
        <w:t xml:space="preserve">This discrepancy is likely to be influenced by differences in sampling strategy and data collection methods. </w:t>
      </w:r>
    </w:p>
    <w:p w14:paraId="6F6204CB" w14:textId="77777777" w:rsidR="00456CA1" w:rsidRPr="009559B2" w:rsidRDefault="00456CA1" w:rsidP="00456CA1">
      <w:pPr>
        <w:pStyle w:val="ListParagraph"/>
        <w:numPr>
          <w:ilvl w:val="0"/>
          <w:numId w:val="8"/>
        </w:numPr>
        <w:spacing w:line="279" w:lineRule="auto"/>
        <w:rPr>
          <w:sz w:val="22"/>
          <w:szCs w:val="22"/>
        </w:rPr>
      </w:pPr>
      <w:r w:rsidRPr="009559B2">
        <w:rPr>
          <w:sz w:val="22"/>
          <w:szCs w:val="22"/>
        </w:rPr>
        <w:t>An Australia-wide study also found a significant increase in levels of likely mental illness from 6.3% before the COVID pandemic, to 17.7% in early July 2020, using the K6 in combina</w:t>
      </w:r>
      <w:r w:rsidRPr="009559B2">
        <w:rPr>
          <w:rFonts w:cs="Aptos"/>
          <w:sz w:val="22"/>
          <w:szCs w:val="22"/>
        </w:rPr>
        <w:t>ti</w:t>
      </w:r>
      <w:r w:rsidRPr="009559B2">
        <w:rPr>
          <w:sz w:val="22"/>
          <w:szCs w:val="22"/>
        </w:rPr>
        <w:t>on with another single-item measure (Botha et al 2022).</w:t>
      </w:r>
    </w:p>
    <w:p w14:paraId="1E5EC4D4" w14:textId="77777777" w:rsidR="00456CA1" w:rsidRPr="009559B2" w:rsidRDefault="00456CA1" w:rsidP="00456CA1">
      <w:pPr>
        <w:pStyle w:val="ListParagraph"/>
        <w:numPr>
          <w:ilvl w:val="0"/>
          <w:numId w:val="8"/>
        </w:numPr>
        <w:spacing w:line="279" w:lineRule="auto"/>
        <w:rPr>
          <w:sz w:val="22"/>
          <w:szCs w:val="22"/>
        </w:rPr>
      </w:pPr>
      <w:r w:rsidRPr="009559B2">
        <w:rPr>
          <w:sz w:val="22"/>
          <w:szCs w:val="22"/>
        </w:rPr>
        <w:t>Our earlier survey (2022-23) yielded similar results for lifetime mental health condition, mental health condition in the last two years, and K6.</w:t>
      </w:r>
      <w:r w:rsidR="0037550E">
        <w:rPr>
          <w:rStyle w:val="FootnoteReference"/>
          <w:sz w:val="22"/>
          <w:szCs w:val="22"/>
        </w:rPr>
        <w:footnoteReference w:id="28"/>
      </w:r>
      <w:r w:rsidRPr="009559B2">
        <w:rPr>
          <w:sz w:val="22"/>
          <w:szCs w:val="22"/>
        </w:rPr>
        <w:t xml:space="preserve"> </w:t>
      </w:r>
    </w:p>
    <w:p w14:paraId="34B1ADD7" w14:textId="77777777" w:rsidR="008B0E62" w:rsidRDefault="00456CA1">
      <w:pPr>
        <w:rPr>
          <w:sz w:val="22"/>
          <w:szCs w:val="22"/>
        </w:rPr>
      </w:pPr>
      <w:r w:rsidRPr="009559B2">
        <w:rPr>
          <w:sz w:val="22"/>
          <w:szCs w:val="22"/>
        </w:rPr>
        <w:t xml:space="preserve">We asked specifically about perinatal depression and perinatal anxiety and found that 140 (11%) of respondents reported they had ever been treated for or diagnosed with one or </w:t>
      </w:r>
      <w:proofErr w:type="gramStart"/>
      <w:r w:rsidRPr="009559B2">
        <w:rPr>
          <w:sz w:val="22"/>
          <w:szCs w:val="22"/>
        </w:rPr>
        <w:t>both of these</w:t>
      </w:r>
      <w:proofErr w:type="gramEnd"/>
      <w:r w:rsidRPr="009559B2">
        <w:rPr>
          <w:sz w:val="22"/>
          <w:szCs w:val="22"/>
        </w:rPr>
        <w:t xml:space="preserve"> conditions. </w:t>
      </w:r>
    </w:p>
    <w:p w14:paraId="1F66ED1F" w14:textId="77777777" w:rsidR="002A7BDB" w:rsidRDefault="002A7BDB">
      <w:pPr>
        <w:rPr>
          <w:rFonts w:cs="Calibri"/>
          <w:i/>
          <w:iCs/>
          <w:color w:val="000000" w:themeColor="text1"/>
          <w:sz w:val="22"/>
          <w:szCs w:val="22"/>
        </w:rPr>
      </w:pPr>
    </w:p>
    <w:p w14:paraId="4AA373D6" w14:textId="77777777" w:rsidR="00456CA1" w:rsidRPr="009559B2" w:rsidRDefault="00456CA1" w:rsidP="00456CA1">
      <w:pPr>
        <w:rPr>
          <w:rFonts w:cs="Calibri"/>
          <w:i/>
          <w:iCs/>
          <w:color w:val="000000" w:themeColor="text1"/>
          <w:sz w:val="22"/>
          <w:szCs w:val="22"/>
        </w:rPr>
      </w:pPr>
      <w:r w:rsidRPr="009559B2">
        <w:rPr>
          <w:rFonts w:cs="Calibri"/>
          <w:i/>
          <w:iCs/>
          <w:color w:val="000000" w:themeColor="text1"/>
          <w:sz w:val="22"/>
          <w:szCs w:val="22"/>
        </w:rPr>
        <w:t>Use of mental health services</w:t>
      </w:r>
    </w:p>
    <w:p w14:paraId="7B9FADB5" w14:textId="77777777" w:rsidR="00456CA1" w:rsidRPr="009559B2" w:rsidRDefault="00456CA1" w:rsidP="00456CA1">
      <w:pPr>
        <w:rPr>
          <w:rFonts w:cs="Calibri"/>
          <w:color w:val="000000" w:themeColor="text1"/>
          <w:sz w:val="22"/>
          <w:szCs w:val="22"/>
        </w:rPr>
      </w:pPr>
      <w:r w:rsidRPr="009559B2">
        <w:rPr>
          <w:rFonts w:cs="Calibri"/>
          <w:color w:val="000000" w:themeColor="text1"/>
          <w:sz w:val="22"/>
          <w:szCs w:val="22"/>
        </w:rPr>
        <w:t>While experiences of psychological distress and mental health conditions were widespread, we found that many people were not accessing mental health services:</w:t>
      </w:r>
    </w:p>
    <w:p w14:paraId="37D7F835" w14:textId="77777777" w:rsidR="00456CA1" w:rsidRPr="009559B2" w:rsidRDefault="00456CA1" w:rsidP="00456CA1">
      <w:pPr>
        <w:pStyle w:val="ListParagraph"/>
        <w:numPr>
          <w:ilvl w:val="0"/>
          <w:numId w:val="8"/>
        </w:numPr>
        <w:spacing w:line="279" w:lineRule="auto"/>
        <w:rPr>
          <w:sz w:val="22"/>
          <w:szCs w:val="22"/>
        </w:rPr>
      </w:pPr>
      <w:r w:rsidRPr="009559B2">
        <w:rPr>
          <w:sz w:val="22"/>
          <w:szCs w:val="22"/>
        </w:rPr>
        <w:t>Only 27% of respondents in 2024-45 overall reported that they had consulted a mental health worker in the last year.</w:t>
      </w:r>
    </w:p>
    <w:p w14:paraId="7359E20B" w14:textId="77777777" w:rsidR="00456CA1" w:rsidRPr="009559B2" w:rsidRDefault="00456CA1" w:rsidP="00456CA1">
      <w:pPr>
        <w:pStyle w:val="ListParagraph"/>
        <w:numPr>
          <w:ilvl w:val="0"/>
          <w:numId w:val="8"/>
        </w:numPr>
        <w:spacing w:line="279" w:lineRule="auto"/>
        <w:rPr>
          <w:sz w:val="22"/>
          <w:szCs w:val="22"/>
        </w:rPr>
      </w:pPr>
      <w:r w:rsidRPr="009559B2">
        <w:rPr>
          <w:sz w:val="22"/>
          <w:szCs w:val="22"/>
        </w:rPr>
        <w:t xml:space="preserve">This represents a slightly lower level of service use from the last survey (2022-23), when similar proportions of people reported experiences of being treated for or diagnosed with a mental health condition on a lifetime basis (64%) and more recently (45% in last 2 years). </w:t>
      </w:r>
    </w:p>
    <w:p w14:paraId="5A41A333" w14:textId="77777777" w:rsidR="00456CA1" w:rsidRPr="009559B2" w:rsidRDefault="00456CA1" w:rsidP="00456CA1">
      <w:pPr>
        <w:pStyle w:val="ListParagraph"/>
        <w:numPr>
          <w:ilvl w:val="0"/>
          <w:numId w:val="8"/>
        </w:numPr>
        <w:spacing w:line="279" w:lineRule="auto"/>
        <w:rPr>
          <w:sz w:val="22"/>
          <w:szCs w:val="22"/>
        </w:rPr>
      </w:pPr>
      <w:r w:rsidRPr="009559B2">
        <w:rPr>
          <w:sz w:val="22"/>
          <w:szCs w:val="22"/>
        </w:rPr>
        <w:t>In that 2022-23 survey by comparison, 34% of respondents reported having consulted a mental health worker in the last 12 months.</w:t>
      </w:r>
      <w:r w:rsidR="00736398">
        <w:rPr>
          <w:rStyle w:val="FootnoteReference"/>
          <w:sz w:val="22"/>
          <w:szCs w:val="22"/>
        </w:rPr>
        <w:footnoteReference w:id="29"/>
      </w:r>
    </w:p>
    <w:p w14:paraId="231EC840" w14:textId="77777777" w:rsidR="00456CA1" w:rsidRPr="009559B2" w:rsidRDefault="00456CA1" w:rsidP="00456CA1">
      <w:pPr>
        <w:pStyle w:val="ListParagraph"/>
        <w:numPr>
          <w:ilvl w:val="0"/>
          <w:numId w:val="8"/>
        </w:numPr>
        <w:spacing w:line="279" w:lineRule="auto"/>
        <w:rPr>
          <w:sz w:val="22"/>
          <w:szCs w:val="22"/>
        </w:rPr>
      </w:pPr>
      <w:r w:rsidRPr="009559B2">
        <w:rPr>
          <w:sz w:val="22"/>
          <w:szCs w:val="22"/>
        </w:rPr>
        <w:t xml:space="preserve">In the 2024-25 survey, among those who had ever been diagnosed or treated for a mental health condition, 63% had </w:t>
      </w:r>
      <w:r w:rsidRPr="009559B2">
        <w:rPr>
          <w:b/>
          <w:bCs/>
          <w:sz w:val="22"/>
          <w:szCs w:val="22"/>
        </w:rPr>
        <w:t>not</w:t>
      </w:r>
      <w:r w:rsidRPr="009559B2">
        <w:rPr>
          <w:sz w:val="22"/>
          <w:szCs w:val="22"/>
        </w:rPr>
        <w:t xml:space="preserve"> consulted a mental health professional in the last 12 months.</w:t>
      </w:r>
    </w:p>
    <w:p w14:paraId="6EF5083A" w14:textId="77777777" w:rsidR="00456CA1" w:rsidRPr="009559B2" w:rsidRDefault="00456CA1" w:rsidP="00456CA1">
      <w:pPr>
        <w:pStyle w:val="ListParagraph"/>
        <w:numPr>
          <w:ilvl w:val="0"/>
          <w:numId w:val="8"/>
        </w:numPr>
        <w:spacing w:line="279" w:lineRule="auto"/>
        <w:rPr>
          <w:sz w:val="22"/>
          <w:szCs w:val="22"/>
        </w:rPr>
      </w:pPr>
      <w:r w:rsidRPr="009559B2">
        <w:rPr>
          <w:sz w:val="22"/>
          <w:szCs w:val="22"/>
        </w:rPr>
        <w:t xml:space="preserve">Of those who had been diagnosed or treated for a mental health condition in the last 2 years, more than half (54%) had </w:t>
      </w:r>
      <w:r w:rsidRPr="009559B2">
        <w:rPr>
          <w:b/>
          <w:bCs/>
          <w:sz w:val="22"/>
          <w:szCs w:val="22"/>
        </w:rPr>
        <w:t>not</w:t>
      </w:r>
      <w:r w:rsidRPr="009559B2">
        <w:rPr>
          <w:sz w:val="22"/>
          <w:szCs w:val="22"/>
        </w:rPr>
        <w:t xml:space="preserve"> consulted a mental health professional in the last 12 months.</w:t>
      </w:r>
    </w:p>
    <w:p w14:paraId="49499620" w14:textId="77777777" w:rsidR="00B904F6" w:rsidRDefault="00B904F6" w:rsidP="00456CA1">
      <w:pPr>
        <w:rPr>
          <w:rFonts w:cs="Calibri"/>
          <w:i/>
          <w:iCs/>
          <w:color w:val="000000" w:themeColor="text1"/>
          <w:sz w:val="22"/>
          <w:szCs w:val="22"/>
        </w:rPr>
      </w:pPr>
    </w:p>
    <w:p w14:paraId="2711299C" w14:textId="77777777" w:rsidR="00456CA1" w:rsidRPr="009559B2" w:rsidRDefault="00456CA1" w:rsidP="00456CA1">
      <w:pPr>
        <w:rPr>
          <w:rFonts w:cs="Calibri"/>
          <w:i/>
          <w:iCs/>
          <w:color w:val="000000" w:themeColor="text1"/>
          <w:sz w:val="22"/>
          <w:szCs w:val="22"/>
        </w:rPr>
      </w:pPr>
      <w:r w:rsidRPr="009559B2">
        <w:rPr>
          <w:rFonts w:cs="Calibri"/>
          <w:i/>
          <w:iCs/>
          <w:color w:val="000000" w:themeColor="text1"/>
          <w:sz w:val="22"/>
          <w:szCs w:val="22"/>
        </w:rPr>
        <w:t>Experiences with GPs in relation to mental health</w:t>
      </w:r>
    </w:p>
    <w:p w14:paraId="5876134C" w14:textId="77777777" w:rsidR="00456CA1" w:rsidRPr="009559B2" w:rsidRDefault="00456CA1" w:rsidP="00456CA1">
      <w:pPr>
        <w:rPr>
          <w:rFonts w:cs="Calibri"/>
          <w:color w:val="000000" w:themeColor="text1"/>
          <w:sz w:val="22"/>
          <w:szCs w:val="22"/>
        </w:rPr>
      </w:pPr>
      <w:r w:rsidRPr="009559B2">
        <w:rPr>
          <w:rFonts w:cs="Calibri"/>
          <w:color w:val="000000" w:themeColor="text1"/>
          <w:sz w:val="22"/>
          <w:szCs w:val="22"/>
        </w:rPr>
        <w:t>In 2024-25 we also asked respondents who had seen a GP in the last 12 months whether their GP in their last consultation had asked them about their mental health. Just over half (51%) answered “no”, while 45% responded “yes”.</w:t>
      </w:r>
    </w:p>
    <w:p w14:paraId="44CF2B58" w14:textId="77777777" w:rsidR="002A7BDB" w:rsidRDefault="00456CA1">
      <w:pPr>
        <w:rPr>
          <w:rFonts w:cs="Calibri"/>
          <w:color w:val="000000" w:themeColor="text1"/>
          <w:sz w:val="22"/>
          <w:szCs w:val="22"/>
        </w:rPr>
      </w:pPr>
      <w:r w:rsidRPr="009559B2">
        <w:rPr>
          <w:rFonts w:cs="Calibri"/>
          <w:color w:val="000000" w:themeColor="text1"/>
          <w:sz w:val="22"/>
          <w:szCs w:val="22"/>
        </w:rPr>
        <w:lastRenderedPageBreak/>
        <w:t>We also asked respondents to rate how well their GP considered their mental health and wellbeing. Over half (55%) answered “Excellent” or “Very good” while only 19% answered “Fair” or “Poor” (on a five-point scale).</w:t>
      </w:r>
    </w:p>
    <w:p w14:paraId="5ABE958D" w14:textId="77777777" w:rsidR="00611E5E" w:rsidRDefault="00611E5E">
      <w:pPr>
        <w:rPr>
          <w:rFonts w:cs="Calibri"/>
          <w:i/>
          <w:iCs/>
          <w:color w:val="000000" w:themeColor="text1"/>
          <w:sz w:val="22"/>
          <w:szCs w:val="22"/>
        </w:rPr>
      </w:pPr>
    </w:p>
    <w:p w14:paraId="5C7C201B" w14:textId="77777777" w:rsidR="00456CA1" w:rsidRPr="009559B2" w:rsidRDefault="00456CA1" w:rsidP="00456CA1">
      <w:pPr>
        <w:rPr>
          <w:rFonts w:cs="Calibri"/>
          <w:i/>
          <w:iCs/>
          <w:color w:val="000000" w:themeColor="text1"/>
          <w:sz w:val="22"/>
          <w:szCs w:val="22"/>
        </w:rPr>
      </w:pPr>
      <w:r w:rsidRPr="009559B2">
        <w:rPr>
          <w:rFonts w:cs="Calibri"/>
          <w:i/>
          <w:iCs/>
          <w:color w:val="000000" w:themeColor="text1"/>
          <w:sz w:val="22"/>
          <w:szCs w:val="22"/>
        </w:rPr>
        <w:t xml:space="preserve">Access to mental health services </w:t>
      </w:r>
    </w:p>
    <w:p w14:paraId="20E89C81" w14:textId="77777777" w:rsidR="00456CA1" w:rsidRPr="009559B2" w:rsidRDefault="00456CA1" w:rsidP="00456CA1">
      <w:pPr>
        <w:rPr>
          <w:sz w:val="22"/>
          <w:szCs w:val="22"/>
        </w:rPr>
      </w:pPr>
      <w:r w:rsidRPr="009559B2">
        <w:rPr>
          <w:rFonts w:cs="Calibri"/>
          <w:color w:val="000000" w:themeColor="text1"/>
          <w:sz w:val="22"/>
          <w:szCs w:val="22"/>
        </w:rPr>
        <w:t xml:space="preserve">We asked respondents </w:t>
      </w:r>
      <w:r w:rsidRPr="009559B2">
        <w:rPr>
          <w:sz w:val="22"/>
          <w:szCs w:val="22"/>
        </w:rPr>
        <w:t xml:space="preserve">to rate their access to different kinds of medical care (care in an emergency, care on short notice, after hours care, telehealth, sexual health and family planning, medical specialists, and mental health services). </w:t>
      </w:r>
    </w:p>
    <w:p w14:paraId="16C8BB89" w14:textId="77777777" w:rsidR="00456CA1" w:rsidRPr="009559B2" w:rsidRDefault="00456CA1" w:rsidP="00456CA1">
      <w:pPr>
        <w:pStyle w:val="ListParagraph"/>
        <w:numPr>
          <w:ilvl w:val="0"/>
          <w:numId w:val="8"/>
        </w:numPr>
        <w:spacing w:line="279" w:lineRule="auto"/>
        <w:rPr>
          <w:sz w:val="22"/>
          <w:szCs w:val="22"/>
        </w:rPr>
      </w:pPr>
      <w:r w:rsidRPr="009559B2">
        <w:rPr>
          <w:sz w:val="22"/>
          <w:szCs w:val="22"/>
        </w:rPr>
        <w:t xml:space="preserve">Around 40% of respondents rated their access to mental health services as only ‘fair’ or ‘poor’ (the bottom two options on a </w:t>
      </w:r>
      <w:proofErr w:type="gramStart"/>
      <w:r w:rsidRPr="009559B2">
        <w:rPr>
          <w:sz w:val="22"/>
          <w:szCs w:val="22"/>
        </w:rPr>
        <w:t>five point</w:t>
      </w:r>
      <w:proofErr w:type="gramEnd"/>
      <w:r w:rsidRPr="009559B2">
        <w:rPr>
          <w:sz w:val="22"/>
          <w:szCs w:val="22"/>
        </w:rPr>
        <w:t xml:space="preserve"> scale) </w:t>
      </w:r>
    </w:p>
    <w:p w14:paraId="2DCF32DD" w14:textId="77777777" w:rsidR="00B904F6" w:rsidRPr="002A7BDB" w:rsidRDefault="00456CA1" w:rsidP="007A4FB1">
      <w:pPr>
        <w:pStyle w:val="ListParagraph"/>
        <w:numPr>
          <w:ilvl w:val="0"/>
          <w:numId w:val="8"/>
        </w:numPr>
        <w:spacing w:line="279" w:lineRule="auto"/>
        <w:jc w:val="both"/>
        <w:rPr>
          <w:rFonts w:cs="Calibri"/>
          <w:i/>
          <w:iCs/>
          <w:color w:val="000000" w:themeColor="text1"/>
          <w:sz w:val="22"/>
          <w:szCs w:val="22"/>
        </w:rPr>
      </w:pPr>
      <w:r w:rsidRPr="002A7BDB">
        <w:rPr>
          <w:sz w:val="22"/>
          <w:szCs w:val="22"/>
        </w:rPr>
        <w:t xml:space="preserve">Mental health services were equal in fair/poor ratings to </w:t>
      </w:r>
      <w:proofErr w:type="spellStart"/>
      <w:r w:rsidRPr="002A7BDB">
        <w:rPr>
          <w:sz w:val="22"/>
          <w:szCs w:val="22"/>
        </w:rPr>
        <w:t>after hours</w:t>
      </w:r>
      <w:proofErr w:type="spellEnd"/>
      <w:r w:rsidRPr="002A7BDB">
        <w:rPr>
          <w:sz w:val="22"/>
          <w:szCs w:val="22"/>
        </w:rPr>
        <w:t xml:space="preserve"> care and specialists (all 40% fair/poor), and only rated higher than one other type of care (care at short notice: 44% fair/poor)</w:t>
      </w:r>
    </w:p>
    <w:p w14:paraId="00DF15B1" w14:textId="77777777" w:rsidR="00B30516" w:rsidRDefault="00B30516" w:rsidP="008B0E62">
      <w:pPr>
        <w:rPr>
          <w:rFonts w:cs="Calibri"/>
          <w:i/>
          <w:iCs/>
          <w:color w:val="000000" w:themeColor="text1"/>
          <w:sz w:val="22"/>
          <w:szCs w:val="22"/>
        </w:rPr>
      </w:pPr>
    </w:p>
    <w:p w14:paraId="094FCCC5" w14:textId="77777777" w:rsidR="00456CA1" w:rsidRPr="009559B2" w:rsidRDefault="00B30516" w:rsidP="008B0E62">
      <w:pPr>
        <w:rPr>
          <w:rFonts w:cs="Calibri"/>
          <w:i/>
          <w:iCs/>
          <w:color w:val="000000" w:themeColor="text1"/>
          <w:sz w:val="22"/>
          <w:szCs w:val="22"/>
        </w:rPr>
      </w:pPr>
      <w:r>
        <w:rPr>
          <w:rFonts w:cs="Calibri"/>
          <w:i/>
          <w:iCs/>
          <w:color w:val="000000" w:themeColor="text1"/>
          <w:sz w:val="22"/>
          <w:szCs w:val="22"/>
        </w:rPr>
        <w:t>V</w:t>
      </w:r>
      <w:r w:rsidR="00456CA1" w:rsidRPr="009559B2">
        <w:rPr>
          <w:rFonts w:cs="Calibri"/>
          <w:i/>
          <w:iCs/>
          <w:color w:val="000000" w:themeColor="text1"/>
          <w:sz w:val="22"/>
          <w:szCs w:val="22"/>
        </w:rPr>
        <w:t>iolence</w:t>
      </w:r>
    </w:p>
    <w:p w14:paraId="556F4E26" w14:textId="77777777" w:rsidR="00456CA1" w:rsidRPr="009559B2" w:rsidRDefault="00456CA1" w:rsidP="00456CA1">
      <w:pPr>
        <w:jc w:val="both"/>
        <w:rPr>
          <w:rFonts w:cs="Calibri"/>
          <w:color w:val="000000" w:themeColor="text1"/>
          <w:sz w:val="22"/>
          <w:szCs w:val="22"/>
        </w:rPr>
      </w:pPr>
      <w:r w:rsidRPr="009559B2">
        <w:rPr>
          <w:rFonts w:cs="Calibri"/>
          <w:color w:val="000000" w:themeColor="text1"/>
          <w:sz w:val="22"/>
          <w:szCs w:val="22"/>
        </w:rPr>
        <w:t xml:space="preserve">Noting the important relationship between experiences of violence and mental health as outlined above, it is worth observing the high reported prevalence of violence in our survey: </w:t>
      </w:r>
    </w:p>
    <w:p w14:paraId="2A15F012" w14:textId="77777777" w:rsidR="00456CA1" w:rsidRPr="009559B2" w:rsidRDefault="00456CA1" w:rsidP="00456CA1">
      <w:pPr>
        <w:pStyle w:val="ListParagraph"/>
        <w:numPr>
          <w:ilvl w:val="0"/>
          <w:numId w:val="8"/>
        </w:numPr>
        <w:spacing w:line="279" w:lineRule="auto"/>
        <w:jc w:val="both"/>
        <w:rPr>
          <w:rFonts w:cs="Calibri"/>
          <w:color w:val="000000" w:themeColor="text1"/>
          <w:sz w:val="22"/>
          <w:szCs w:val="22"/>
        </w:rPr>
      </w:pPr>
      <w:r w:rsidRPr="009559B2">
        <w:rPr>
          <w:rFonts w:cs="Calibri"/>
          <w:color w:val="000000" w:themeColor="text1"/>
          <w:sz w:val="22"/>
          <w:szCs w:val="22"/>
        </w:rPr>
        <w:t>39% of respondents in 2024-25 reported ever having been subjected to sexual violence (</w:t>
      </w:r>
      <w:proofErr w:type="gramStart"/>
      <w:r w:rsidRPr="009559B2">
        <w:rPr>
          <w:rFonts w:cs="Calibri"/>
          <w:color w:val="000000" w:themeColor="text1"/>
          <w:sz w:val="22"/>
          <w:szCs w:val="22"/>
        </w:rPr>
        <w:t>similar to</w:t>
      </w:r>
      <w:proofErr w:type="gramEnd"/>
      <w:r w:rsidRPr="009559B2">
        <w:rPr>
          <w:rFonts w:cs="Calibri"/>
          <w:color w:val="000000" w:themeColor="text1"/>
          <w:sz w:val="22"/>
          <w:szCs w:val="22"/>
        </w:rPr>
        <w:t xml:space="preserve"> the 44% who answered yes to the same question in 2022-23)</w:t>
      </w:r>
      <w:r w:rsidR="00A03B96">
        <w:rPr>
          <w:rStyle w:val="FootnoteReference"/>
          <w:rFonts w:cs="Calibri"/>
          <w:color w:val="000000" w:themeColor="text1"/>
          <w:sz w:val="22"/>
          <w:szCs w:val="22"/>
        </w:rPr>
        <w:footnoteReference w:id="30"/>
      </w:r>
    </w:p>
    <w:p w14:paraId="26A79FAF" w14:textId="77777777" w:rsidR="00456CA1" w:rsidRPr="009559B2" w:rsidRDefault="00456CA1" w:rsidP="00456CA1">
      <w:pPr>
        <w:pStyle w:val="ListParagraph"/>
        <w:numPr>
          <w:ilvl w:val="0"/>
          <w:numId w:val="8"/>
        </w:numPr>
        <w:spacing w:line="279" w:lineRule="auto"/>
        <w:jc w:val="both"/>
        <w:rPr>
          <w:rFonts w:cs="Calibri"/>
          <w:color w:val="000000" w:themeColor="text1"/>
          <w:sz w:val="22"/>
          <w:szCs w:val="22"/>
        </w:rPr>
      </w:pPr>
      <w:r w:rsidRPr="009559B2">
        <w:rPr>
          <w:rFonts w:cs="Calibri"/>
          <w:color w:val="000000" w:themeColor="text1"/>
          <w:sz w:val="22"/>
          <w:szCs w:val="22"/>
        </w:rPr>
        <w:t xml:space="preserve">This is higher than the prevalence estimated by the ABS’s Personal Safety Survey (2021), which found that 22% of women Australia-wide had experienced sexual violence since the age of 15, but </w:t>
      </w:r>
      <w:proofErr w:type="gramStart"/>
      <w:r w:rsidRPr="009559B2">
        <w:rPr>
          <w:rFonts w:cs="Calibri"/>
          <w:color w:val="000000" w:themeColor="text1"/>
          <w:sz w:val="22"/>
          <w:szCs w:val="22"/>
        </w:rPr>
        <w:t>similar to</w:t>
      </w:r>
      <w:proofErr w:type="gramEnd"/>
      <w:r w:rsidRPr="009559B2">
        <w:rPr>
          <w:rFonts w:cs="Calibri"/>
          <w:color w:val="000000" w:themeColor="text1"/>
          <w:sz w:val="22"/>
          <w:szCs w:val="22"/>
        </w:rPr>
        <w:t xml:space="preserve"> the rates found by ANROWS &amp; ALSWH (noted above)</w:t>
      </w:r>
    </w:p>
    <w:p w14:paraId="07A5B872" w14:textId="77777777" w:rsidR="00456CA1" w:rsidRPr="009559B2" w:rsidRDefault="00456CA1" w:rsidP="00456CA1">
      <w:pPr>
        <w:pStyle w:val="ListParagraph"/>
        <w:numPr>
          <w:ilvl w:val="0"/>
          <w:numId w:val="8"/>
        </w:numPr>
        <w:spacing w:line="279" w:lineRule="auto"/>
        <w:jc w:val="both"/>
        <w:rPr>
          <w:rFonts w:cs="Calibri"/>
          <w:color w:val="000000" w:themeColor="text1"/>
          <w:sz w:val="22"/>
          <w:szCs w:val="22"/>
        </w:rPr>
      </w:pPr>
      <w:r w:rsidRPr="009559B2">
        <w:rPr>
          <w:rFonts w:cs="Calibri"/>
          <w:color w:val="000000" w:themeColor="text1"/>
          <w:sz w:val="22"/>
          <w:szCs w:val="22"/>
        </w:rPr>
        <w:t>2.3% of respondents reported experiencing sexual violence in the last year (</w:t>
      </w:r>
      <w:proofErr w:type="gramStart"/>
      <w:r w:rsidRPr="009559B2">
        <w:rPr>
          <w:rFonts w:cs="Calibri"/>
          <w:color w:val="000000" w:themeColor="text1"/>
          <w:sz w:val="22"/>
          <w:szCs w:val="22"/>
        </w:rPr>
        <w:t>similar to</w:t>
      </w:r>
      <w:proofErr w:type="gramEnd"/>
      <w:r w:rsidRPr="009559B2">
        <w:rPr>
          <w:rFonts w:cs="Calibri"/>
          <w:color w:val="000000" w:themeColor="text1"/>
          <w:sz w:val="22"/>
          <w:szCs w:val="22"/>
        </w:rPr>
        <w:t xml:space="preserve"> the 2.9% who answered yes in 2022-23)</w:t>
      </w:r>
      <w:r w:rsidR="001B112C">
        <w:rPr>
          <w:rStyle w:val="FootnoteReference"/>
          <w:rFonts w:cs="Calibri"/>
          <w:color w:val="000000" w:themeColor="text1"/>
          <w:sz w:val="22"/>
          <w:szCs w:val="22"/>
        </w:rPr>
        <w:footnoteReference w:id="31"/>
      </w:r>
    </w:p>
    <w:p w14:paraId="7BA1A5E8" w14:textId="77777777" w:rsidR="00456CA1" w:rsidRPr="009559B2" w:rsidRDefault="00456CA1" w:rsidP="00456CA1">
      <w:pPr>
        <w:pStyle w:val="ListParagraph"/>
        <w:numPr>
          <w:ilvl w:val="0"/>
          <w:numId w:val="8"/>
        </w:numPr>
        <w:spacing w:line="279" w:lineRule="auto"/>
        <w:jc w:val="both"/>
        <w:rPr>
          <w:rFonts w:cs="Calibri"/>
          <w:color w:val="000000" w:themeColor="text1"/>
          <w:sz w:val="22"/>
          <w:szCs w:val="22"/>
        </w:rPr>
      </w:pPr>
      <w:r w:rsidRPr="009559B2">
        <w:rPr>
          <w:rFonts w:cs="Calibri"/>
          <w:color w:val="000000" w:themeColor="text1"/>
          <w:sz w:val="22"/>
          <w:szCs w:val="22"/>
        </w:rPr>
        <w:t>This is just slightly higher than the 2021 Personal Safety Survey, which reported 1.9% of women had experienced sexual violence in the last year.</w:t>
      </w:r>
    </w:p>
    <w:p w14:paraId="0366B3D7" w14:textId="77777777" w:rsidR="00456CA1" w:rsidRPr="009559B2" w:rsidRDefault="00456CA1" w:rsidP="00456CA1">
      <w:pPr>
        <w:jc w:val="both"/>
        <w:rPr>
          <w:rFonts w:cs="Calibri"/>
          <w:color w:val="000000" w:themeColor="text1"/>
          <w:sz w:val="22"/>
          <w:szCs w:val="22"/>
        </w:rPr>
      </w:pPr>
      <w:r w:rsidRPr="009559B2">
        <w:rPr>
          <w:rFonts w:cs="Calibri"/>
          <w:color w:val="000000" w:themeColor="text1"/>
          <w:sz w:val="22"/>
          <w:szCs w:val="22"/>
        </w:rPr>
        <w:t xml:space="preserve">Our survey findings on workplace sexual harassment, family violence, violence by someone you live with or rely on, domestic violence, and institutional violence likewise show that violence is a widespread experience among women in the ACT. In our 2024-25 survey, only around a third of respondents reported never having experienced any of these forms of violence, with many reporting that they had experienced more than one form. </w:t>
      </w:r>
    </w:p>
    <w:p w14:paraId="160DEAA4" w14:textId="77777777" w:rsidR="00B30516" w:rsidRDefault="00456CA1" w:rsidP="00611E5E">
      <w:pPr>
        <w:jc w:val="both"/>
        <w:rPr>
          <w:rFonts w:cs="Calibri"/>
          <w:i/>
          <w:iCs/>
          <w:color w:val="000000" w:themeColor="text1"/>
          <w:sz w:val="22"/>
          <w:szCs w:val="22"/>
        </w:rPr>
      </w:pPr>
      <w:r w:rsidRPr="009559B2">
        <w:rPr>
          <w:rFonts w:cs="Calibri"/>
          <w:color w:val="000000" w:themeColor="text1"/>
          <w:sz w:val="22"/>
          <w:szCs w:val="22"/>
        </w:rPr>
        <w:t xml:space="preserve">Of the people who reported ever having experiencing violence, only 28% said they had ever engaged with services focused on violence. The kinds of services most widely reported as being used by respondents were domestic and family violence services (many of which include counselling), phone support services (such as 1800RESPECT, which include counselling), legal services, and police.  </w:t>
      </w:r>
      <w:r w:rsidR="00B30516">
        <w:rPr>
          <w:rFonts w:cs="Calibri"/>
          <w:i/>
          <w:iCs/>
          <w:color w:val="000000" w:themeColor="text1"/>
          <w:sz w:val="22"/>
          <w:szCs w:val="22"/>
        </w:rPr>
        <w:br w:type="page"/>
      </w:r>
    </w:p>
    <w:p w14:paraId="2EEF5D83" w14:textId="77777777" w:rsidR="00456CA1" w:rsidRPr="009559B2" w:rsidRDefault="00456CA1" w:rsidP="00456CA1">
      <w:pPr>
        <w:jc w:val="both"/>
        <w:rPr>
          <w:rFonts w:cs="Calibri"/>
          <w:i/>
          <w:iCs/>
          <w:color w:val="000000" w:themeColor="text1"/>
          <w:sz w:val="22"/>
          <w:szCs w:val="22"/>
        </w:rPr>
      </w:pPr>
      <w:r w:rsidRPr="009559B2">
        <w:rPr>
          <w:rFonts w:cs="Calibri"/>
          <w:i/>
          <w:iCs/>
          <w:color w:val="000000" w:themeColor="text1"/>
          <w:sz w:val="22"/>
          <w:szCs w:val="22"/>
        </w:rPr>
        <w:lastRenderedPageBreak/>
        <w:t xml:space="preserve">Experiences of healthcare and help-seeking </w:t>
      </w:r>
    </w:p>
    <w:p w14:paraId="2FE32C74" w14:textId="77777777" w:rsidR="00456CA1" w:rsidRPr="009559B2" w:rsidRDefault="00456CA1" w:rsidP="00456CA1">
      <w:pPr>
        <w:jc w:val="both"/>
        <w:rPr>
          <w:rFonts w:cs="Calibri"/>
          <w:color w:val="000000" w:themeColor="text1"/>
          <w:sz w:val="22"/>
          <w:szCs w:val="22"/>
        </w:rPr>
      </w:pPr>
      <w:r w:rsidRPr="009559B2">
        <w:rPr>
          <w:rFonts w:cs="Calibri"/>
          <w:color w:val="000000" w:themeColor="text1"/>
          <w:sz w:val="22"/>
          <w:szCs w:val="22"/>
        </w:rPr>
        <w:t xml:space="preserve">Our survey asked </w:t>
      </w:r>
      <w:proofErr w:type="gramStart"/>
      <w:r w:rsidRPr="009559B2">
        <w:rPr>
          <w:rFonts w:cs="Calibri"/>
          <w:color w:val="000000" w:themeColor="text1"/>
          <w:sz w:val="22"/>
          <w:szCs w:val="22"/>
        </w:rPr>
        <w:t>a number of</w:t>
      </w:r>
      <w:proofErr w:type="gramEnd"/>
      <w:r w:rsidRPr="009559B2">
        <w:rPr>
          <w:rFonts w:cs="Calibri"/>
          <w:color w:val="000000" w:themeColor="text1"/>
          <w:sz w:val="22"/>
          <w:szCs w:val="22"/>
        </w:rPr>
        <w:t xml:space="preserve"> questions about people’s experiences of seeking and receiving healthcare. On the positive side, </w:t>
      </w:r>
      <w:proofErr w:type="gramStart"/>
      <w:r w:rsidRPr="009559B2">
        <w:rPr>
          <w:rFonts w:cs="Calibri"/>
          <w:color w:val="000000" w:themeColor="text1"/>
          <w:sz w:val="22"/>
          <w:szCs w:val="22"/>
        </w:rPr>
        <w:t>a majority of</w:t>
      </w:r>
      <w:proofErr w:type="gramEnd"/>
      <w:r w:rsidRPr="009559B2">
        <w:rPr>
          <w:rFonts w:cs="Calibri"/>
          <w:color w:val="000000" w:themeColor="text1"/>
          <w:sz w:val="22"/>
          <w:szCs w:val="22"/>
        </w:rPr>
        <w:t xml:space="preserve"> respondents in the 2024-25 survey agreed that the care they have received from doctors in the last few years has been good (referring to all kinds of doctors, </w:t>
      </w:r>
      <w:proofErr w:type="gramStart"/>
      <w:r w:rsidRPr="009559B2">
        <w:rPr>
          <w:rFonts w:cs="Calibri"/>
          <w:color w:val="000000" w:themeColor="text1"/>
          <w:sz w:val="22"/>
          <w:szCs w:val="22"/>
        </w:rPr>
        <w:t>not only GPs</w:t>
      </w:r>
      <w:proofErr w:type="gramEnd"/>
      <w:r w:rsidRPr="009559B2">
        <w:rPr>
          <w:rFonts w:cs="Calibri"/>
          <w:color w:val="000000" w:themeColor="text1"/>
          <w:sz w:val="22"/>
          <w:szCs w:val="22"/>
        </w:rPr>
        <w:t>). In relation to GPs specifically, GPs were rated favourably for how well they listened, explained problems and treatments, and respected people’s cultures, identities, beliefs and choices.</w:t>
      </w:r>
    </w:p>
    <w:p w14:paraId="392D2B05" w14:textId="77777777" w:rsidR="00456CA1" w:rsidRPr="009559B2" w:rsidRDefault="00456CA1" w:rsidP="00456CA1">
      <w:pPr>
        <w:jc w:val="both"/>
        <w:rPr>
          <w:rFonts w:cs="Calibri"/>
          <w:color w:val="000000" w:themeColor="text1"/>
          <w:sz w:val="22"/>
          <w:szCs w:val="22"/>
        </w:rPr>
      </w:pPr>
      <w:r w:rsidRPr="009559B2">
        <w:rPr>
          <w:rFonts w:cs="Calibri"/>
          <w:color w:val="000000" w:themeColor="text1"/>
          <w:sz w:val="22"/>
          <w:szCs w:val="22"/>
        </w:rPr>
        <w:t>However, over a third (35%) say that they avoid seeing a doctor whenever possible and nearly 40% say they only go to the doctor if there is no other option (up from 26% and 35% respectively in 2022-23).</w:t>
      </w:r>
      <w:r w:rsidR="001B112C">
        <w:rPr>
          <w:rStyle w:val="FootnoteReference"/>
          <w:rFonts w:cs="Calibri"/>
          <w:color w:val="000000" w:themeColor="text1"/>
          <w:sz w:val="22"/>
          <w:szCs w:val="22"/>
        </w:rPr>
        <w:footnoteReference w:id="32"/>
      </w:r>
      <w:r w:rsidRPr="009559B2">
        <w:rPr>
          <w:rFonts w:cs="Calibri"/>
          <w:color w:val="000000" w:themeColor="text1"/>
          <w:sz w:val="22"/>
          <w:szCs w:val="22"/>
        </w:rPr>
        <w:t xml:space="preserve"> </w:t>
      </w:r>
    </w:p>
    <w:p w14:paraId="14D8203B" w14:textId="77777777" w:rsidR="00456CA1" w:rsidRPr="009559B2" w:rsidRDefault="00456CA1" w:rsidP="00456CA1">
      <w:pPr>
        <w:jc w:val="both"/>
        <w:rPr>
          <w:rFonts w:cs="Calibri"/>
          <w:color w:val="000000" w:themeColor="text1"/>
          <w:sz w:val="22"/>
          <w:szCs w:val="22"/>
        </w:rPr>
      </w:pPr>
      <w:r w:rsidRPr="009559B2">
        <w:rPr>
          <w:rFonts w:cs="Calibri"/>
          <w:color w:val="000000" w:themeColor="text1"/>
          <w:sz w:val="22"/>
          <w:szCs w:val="22"/>
        </w:rPr>
        <w:t>Over 45% say doctors have taken them only “somewhat seriously” (35%) or “not at all seriously” (10%) (on a four-point scale with “mostly seriously” and “completely seriously” comprising the remainder of responses). This compares with 34% of respondents in our 2022-23 survey giving “somewhat seriously” (28%) or “not at all seriously” (6%) to the same question.</w:t>
      </w:r>
      <w:r w:rsidR="00510E2C">
        <w:rPr>
          <w:rStyle w:val="FootnoteReference"/>
          <w:rFonts w:cs="Calibri"/>
          <w:color w:val="000000" w:themeColor="text1"/>
          <w:sz w:val="22"/>
          <w:szCs w:val="22"/>
        </w:rPr>
        <w:footnoteReference w:id="33"/>
      </w:r>
    </w:p>
    <w:p w14:paraId="425940DD" w14:textId="77777777" w:rsidR="00456CA1" w:rsidRPr="009559B2" w:rsidRDefault="00456CA1" w:rsidP="00456CA1">
      <w:pPr>
        <w:rPr>
          <w:sz w:val="22"/>
          <w:szCs w:val="22"/>
        </w:rPr>
      </w:pPr>
      <w:r w:rsidRPr="009559B2">
        <w:rPr>
          <w:sz w:val="22"/>
          <w:szCs w:val="22"/>
        </w:rPr>
        <w:t>Analysis of our 2022-23 survey data found that women and femme-identifying people who were experiencing or had experienced domestic, family and sexual violence were:</w:t>
      </w:r>
    </w:p>
    <w:p w14:paraId="751A386C" w14:textId="77777777" w:rsidR="00456CA1" w:rsidRPr="009559B2" w:rsidRDefault="00456CA1" w:rsidP="00456CA1">
      <w:pPr>
        <w:pStyle w:val="ListParagraph"/>
        <w:numPr>
          <w:ilvl w:val="0"/>
          <w:numId w:val="8"/>
        </w:numPr>
        <w:spacing w:line="279" w:lineRule="auto"/>
        <w:rPr>
          <w:sz w:val="22"/>
          <w:szCs w:val="22"/>
        </w:rPr>
      </w:pPr>
      <w:r w:rsidRPr="009559B2">
        <w:rPr>
          <w:sz w:val="22"/>
          <w:szCs w:val="22"/>
        </w:rPr>
        <w:t xml:space="preserve">less likely than those who had not experienced violence to agree that the care they have received from doctors in the last few years was good, </w:t>
      </w:r>
    </w:p>
    <w:p w14:paraId="09F374C8" w14:textId="77777777" w:rsidR="00456CA1" w:rsidRPr="009559B2" w:rsidRDefault="00456CA1" w:rsidP="00456CA1">
      <w:pPr>
        <w:pStyle w:val="ListParagraph"/>
        <w:numPr>
          <w:ilvl w:val="0"/>
          <w:numId w:val="8"/>
        </w:numPr>
        <w:spacing w:line="279" w:lineRule="auto"/>
        <w:rPr>
          <w:sz w:val="22"/>
          <w:szCs w:val="22"/>
        </w:rPr>
      </w:pPr>
      <w:r w:rsidRPr="009559B2">
        <w:rPr>
          <w:sz w:val="22"/>
          <w:szCs w:val="22"/>
        </w:rPr>
        <w:t xml:space="preserve">less likely to feel they their symptoms were taken ‘completely seriously’ by doctors and </w:t>
      </w:r>
    </w:p>
    <w:p w14:paraId="5BD3E5B6" w14:textId="77777777" w:rsidR="00456CA1" w:rsidRPr="009559B2" w:rsidRDefault="00456CA1" w:rsidP="00456CA1">
      <w:pPr>
        <w:pStyle w:val="ListParagraph"/>
        <w:numPr>
          <w:ilvl w:val="0"/>
          <w:numId w:val="8"/>
        </w:numPr>
        <w:spacing w:line="279" w:lineRule="auto"/>
        <w:rPr>
          <w:sz w:val="22"/>
          <w:szCs w:val="22"/>
        </w:rPr>
      </w:pPr>
      <w:r w:rsidRPr="009559B2">
        <w:rPr>
          <w:sz w:val="22"/>
          <w:szCs w:val="22"/>
        </w:rPr>
        <w:t>more likely to agree that they only go to a doctor if there is no other option.</w:t>
      </w:r>
    </w:p>
    <w:p w14:paraId="6B2054C6" w14:textId="77777777" w:rsidR="00456CA1" w:rsidRPr="009559B2" w:rsidRDefault="00456CA1" w:rsidP="00456CA1">
      <w:pPr>
        <w:jc w:val="both"/>
        <w:rPr>
          <w:rFonts w:cs="Calibri"/>
          <w:color w:val="000000" w:themeColor="text1"/>
          <w:sz w:val="22"/>
          <w:szCs w:val="22"/>
        </w:rPr>
      </w:pPr>
      <w:r w:rsidRPr="009559B2">
        <w:rPr>
          <w:rFonts w:cs="Calibri"/>
          <w:color w:val="000000" w:themeColor="text1"/>
          <w:sz w:val="22"/>
          <w:szCs w:val="22"/>
        </w:rPr>
        <w:t xml:space="preserve">In 2024-25 we also asked people about experiences of healthcare discrimination, finding that 15% of respondents reported experiencing discrimination or unfair treatment in healthcare. Discrimination </w:t>
      </w:r>
      <w:proofErr w:type="gramStart"/>
      <w:r w:rsidRPr="009559B2">
        <w:rPr>
          <w:rFonts w:cs="Calibri"/>
          <w:color w:val="000000" w:themeColor="text1"/>
          <w:sz w:val="22"/>
          <w:szCs w:val="22"/>
        </w:rPr>
        <w:t>on the basis of</w:t>
      </w:r>
      <w:proofErr w:type="gramEnd"/>
      <w:r w:rsidRPr="009559B2">
        <w:rPr>
          <w:rFonts w:cs="Calibri"/>
          <w:color w:val="000000" w:themeColor="text1"/>
          <w:sz w:val="22"/>
          <w:szCs w:val="22"/>
        </w:rPr>
        <w:t xml:space="preserve"> gender, age, weight and disability were the most common factors identified. </w:t>
      </w:r>
    </w:p>
    <w:p w14:paraId="52613214" w14:textId="77777777" w:rsidR="00456CA1" w:rsidRPr="009559B2" w:rsidRDefault="00456CA1" w:rsidP="00456CA1">
      <w:pPr>
        <w:jc w:val="both"/>
        <w:rPr>
          <w:rFonts w:cs="Calibri"/>
          <w:color w:val="000000" w:themeColor="text1"/>
          <w:sz w:val="22"/>
          <w:szCs w:val="22"/>
        </w:rPr>
      </w:pPr>
      <w:r w:rsidRPr="009559B2">
        <w:rPr>
          <w:rFonts w:cs="Calibri"/>
          <w:color w:val="000000" w:themeColor="text1"/>
          <w:sz w:val="22"/>
          <w:szCs w:val="22"/>
        </w:rPr>
        <w:t>Over a quarter (27%) of respondents in 2024-25 agreed or strongly agreed that they worried about judgement or discrimination from doctors.</w:t>
      </w:r>
    </w:p>
    <w:p w14:paraId="75CB16BC" w14:textId="77777777" w:rsidR="00456CA1" w:rsidRPr="009559B2" w:rsidRDefault="00456CA1" w:rsidP="00456CA1">
      <w:pPr>
        <w:jc w:val="both"/>
        <w:rPr>
          <w:rFonts w:cs="Calibri"/>
          <w:color w:val="000000" w:themeColor="text1"/>
          <w:sz w:val="22"/>
          <w:szCs w:val="22"/>
        </w:rPr>
      </w:pPr>
      <w:r w:rsidRPr="009559B2">
        <w:rPr>
          <w:rFonts w:cs="Calibri"/>
          <w:color w:val="000000" w:themeColor="text1"/>
          <w:sz w:val="22"/>
          <w:szCs w:val="22"/>
        </w:rPr>
        <w:t xml:space="preserve">Many people reported good healthcare experiences, but hundreds of respondents told us in free text answers about distressing experiences of being invalidated, judged negatively, denied care and given ineffective treatments because they were not listened to or believed. </w:t>
      </w:r>
    </w:p>
    <w:p w14:paraId="0B34129A" w14:textId="77777777" w:rsidR="00B904F6" w:rsidRPr="00611E5E" w:rsidRDefault="00456CA1" w:rsidP="00456CA1">
      <w:pPr>
        <w:jc w:val="both"/>
        <w:rPr>
          <w:rFonts w:cs="Calibri"/>
          <w:color w:val="000000" w:themeColor="text1"/>
          <w:sz w:val="22"/>
          <w:szCs w:val="22"/>
        </w:rPr>
      </w:pPr>
      <w:r w:rsidRPr="009559B2">
        <w:rPr>
          <w:rFonts w:cs="Calibri"/>
          <w:color w:val="000000" w:themeColor="text1"/>
          <w:sz w:val="22"/>
          <w:szCs w:val="22"/>
        </w:rPr>
        <w:t xml:space="preserve">While these experiences referred to interactions with a wide range of medical professionals (from GPs to allied health, specialists and hospital staff), they have implications for mental health in two key ways: first, they have direct negative impacts on psychological wellbeing; and second, they decrease trust and willingness to seek help from mental health professionals and other types of formal services that might be involved in mental health support. </w:t>
      </w:r>
    </w:p>
    <w:p w14:paraId="67BA4B6D" w14:textId="77777777" w:rsidR="00B30516" w:rsidRDefault="00B30516">
      <w:pPr>
        <w:rPr>
          <w:rFonts w:cs="Calibri"/>
          <w:b/>
          <w:bCs/>
          <w:color w:val="000000" w:themeColor="text1"/>
          <w:sz w:val="22"/>
          <w:szCs w:val="22"/>
        </w:rPr>
      </w:pPr>
      <w:r>
        <w:rPr>
          <w:rFonts w:cs="Calibri"/>
          <w:b/>
          <w:bCs/>
          <w:color w:val="000000" w:themeColor="text1"/>
          <w:sz w:val="22"/>
          <w:szCs w:val="22"/>
        </w:rPr>
        <w:br w:type="page"/>
      </w:r>
    </w:p>
    <w:p w14:paraId="70EC7840" w14:textId="77777777" w:rsidR="00456CA1" w:rsidRPr="009559B2" w:rsidRDefault="00456CA1" w:rsidP="00456CA1">
      <w:pPr>
        <w:ind w:left="567" w:hanging="567"/>
        <w:jc w:val="both"/>
        <w:rPr>
          <w:rFonts w:cs="Calibri"/>
          <w:b/>
          <w:bCs/>
          <w:color w:val="000000" w:themeColor="text1"/>
          <w:sz w:val="22"/>
          <w:szCs w:val="22"/>
        </w:rPr>
      </w:pPr>
      <w:r w:rsidRPr="009559B2">
        <w:rPr>
          <w:rFonts w:cs="Calibri"/>
          <w:b/>
          <w:bCs/>
          <w:color w:val="000000" w:themeColor="text1"/>
          <w:sz w:val="22"/>
          <w:szCs w:val="22"/>
        </w:rPr>
        <w:lastRenderedPageBreak/>
        <w:t>Implications for mental health policy and commissioning in the ACT</w:t>
      </w:r>
    </w:p>
    <w:p w14:paraId="3ACE1F6B" w14:textId="77777777" w:rsidR="00456CA1" w:rsidRPr="009559B2" w:rsidRDefault="00456CA1" w:rsidP="00456CA1">
      <w:pPr>
        <w:jc w:val="both"/>
        <w:rPr>
          <w:rFonts w:cs="Calibri"/>
          <w:color w:val="000000" w:themeColor="text1"/>
          <w:sz w:val="22"/>
          <w:szCs w:val="22"/>
        </w:rPr>
      </w:pPr>
      <w:r w:rsidRPr="009559B2">
        <w:rPr>
          <w:rFonts w:cs="Calibri"/>
          <w:color w:val="000000" w:themeColor="text1"/>
          <w:sz w:val="22"/>
          <w:szCs w:val="22"/>
        </w:rPr>
        <w:t>From our research and the other research summarised above, we can conclude that while many women experience good levels of wellbeing and access to healthcare in the ACT, there are several concerns:</w:t>
      </w:r>
    </w:p>
    <w:p w14:paraId="10982291" w14:textId="77777777" w:rsidR="00456CA1" w:rsidRPr="009559B2" w:rsidRDefault="00456CA1" w:rsidP="00456CA1">
      <w:pPr>
        <w:pStyle w:val="ListParagraph"/>
        <w:numPr>
          <w:ilvl w:val="0"/>
          <w:numId w:val="8"/>
        </w:numPr>
        <w:spacing w:line="279" w:lineRule="auto"/>
        <w:jc w:val="both"/>
        <w:rPr>
          <w:rFonts w:cs="Calibri"/>
          <w:color w:val="000000" w:themeColor="text1"/>
          <w:sz w:val="22"/>
          <w:szCs w:val="22"/>
        </w:rPr>
      </w:pPr>
      <w:r w:rsidRPr="009559B2">
        <w:rPr>
          <w:rFonts w:cs="Calibri"/>
          <w:color w:val="000000" w:themeColor="text1"/>
          <w:sz w:val="22"/>
          <w:szCs w:val="22"/>
        </w:rPr>
        <w:t xml:space="preserve">Experiences of psychological distress and mental health conditions are widespread among women in the </w:t>
      </w:r>
      <w:proofErr w:type="gramStart"/>
      <w:r w:rsidRPr="009559B2">
        <w:rPr>
          <w:rFonts w:cs="Calibri"/>
          <w:color w:val="000000" w:themeColor="text1"/>
          <w:sz w:val="22"/>
          <w:szCs w:val="22"/>
        </w:rPr>
        <w:t>ACT, and</w:t>
      </w:r>
      <w:proofErr w:type="gramEnd"/>
      <w:r w:rsidRPr="009559B2">
        <w:rPr>
          <w:rFonts w:cs="Calibri"/>
          <w:color w:val="000000" w:themeColor="text1"/>
          <w:sz w:val="22"/>
          <w:szCs w:val="22"/>
        </w:rPr>
        <w:t xml:space="preserve"> include gendered experiences that extend well beyond experiences of pregnancy and birth.</w:t>
      </w:r>
    </w:p>
    <w:p w14:paraId="3772CE39" w14:textId="77777777" w:rsidR="00456CA1" w:rsidRPr="009559B2" w:rsidRDefault="00456CA1" w:rsidP="00456CA1">
      <w:pPr>
        <w:pStyle w:val="ListParagraph"/>
        <w:numPr>
          <w:ilvl w:val="0"/>
          <w:numId w:val="8"/>
        </w:numPr>
        <w:spacing w:line="279" w:lineRule="auto"/>
        <w:jc w:val="both"/>
        <w:rPr>
          <w:rFonts w:cs="Calibri"/>
          <w:color w:val="000000" w:themeColor="text1"/>
          <w:sz w:val="22"/>
          <w:szCs w:val="22"/>
        </w:rPr>
      </w:pPr>
      <w:r w:rsidRPr="009559B2">
        <w:rPr>
          <w:rFonts w:cs="Calibri"/>
          <w:color w:val="000000" w:themeColor="text1"/>
          <w:sz w:val="22"/>
          <w:szCs w:val="22"/>
        </w:rPr>
        <w:t>Significant proportions of women experiencing psychological distress and mental health conditions feel that they do not have good access to mental health services.</w:t>
      </w:r>
    </w:p>
    <w:p w14:paraId="4A5E275D" w14:textId="77777777" w:rsidR="00456CA1" w:rsidRPr="009559B2" w:rsidRDefault="00456CA1" w:rsidP="00456CA1">
      <w:pPr>
        <w:pStyle w:val="ListParagraph"/>
        <w:numPr>
          <w:ilvl w:val="0"/>
          <w:numId w:val="8"/>
        </w:numPr>
        <w:spacing w:line="279" w:lineRule="auto"/>
        <w:jc w:val="both"/>
        <w:rPr>
          <w:rFonts w:cs="Calibri"/>
          <w:color w:val="000000" w:themeColor="text1"/>
          <w:sz w:val="22"/>
          <w:szCs w:val="22"/>
        </w:rPr>
      </w:pPr>
      <w:r w:rsidRPr="009559B2">
        <w:rPr>
          <w:rFonts w:cs="Calibri"/>
          <w:color w:val="000000" w:themeColor="text1"/>
          <w:sz w:val="22"/>
          <w:szCs w:val="22"/>
        </w:rPr>
        <w:t xml:space="preserve">Significant proportions are not accessing support from mental health professionals </w:t>
      </w:r>
    </w:p>
    <w:p w14:paraId="1918FFA4" w14:textId="77777777" w:rsidR="00456CA1" w:rsidRPr="009559B2" w:rsidRDefault="00456CA1" w:rsidP="00456CA1">
      <w:pPr>
        <w:pStyle w:val="ListParagraph"/>
        <w:numPr>
          <w:ilvl w:val="0"/>
          <w:numId w:val="8"/>
        </w:numPr>
        <w:spacing w:line="279" w:lineRule="auto"/>
        <w:jc w:val="both"/>
        <w:rPr>
          <w:rFonts w:cs="Calibri"/>
          <w:color w:val="000000" w:themeColor="text1"/>
          <w:sz w:val="22"/>
          <w:szCs w:val="22"/>
        </w:rPr>
      </w:pPr>
      <w:r w:rsidRPr="009559B2">
        <w:rPr>
          <w:rFonts w:cs="Calibri"/>
          <w:color w:val="000000" w:themeColor="text1"/>
          <w:sz w:val="22"/>
          <w:szCs w:val="22"/>
        </w:rPr>
        <w:t>Large numbers of women have experienced and are experiencing different forms of violence.</w:t>
      </w:r>
    </w:p>
    <w:p w14:paraId="6F13FCC9" w14:textId="77777777" w:rsidR="00456CA1" w:rsidRPr="009559B2" w:rsidRDefault="00456CA1" w:rsidP="00456CA1">
      <w:pPr>
        <w:pStyle w:val="ListParagraph"/>
        <w:numPr>
          <w:ilvl w:val="0"/>
          <w:numId w:val="8"/>
        </w:numPr>
        <w:spacing w:line="279" w:lineRule="auto"/>
        <w:jc w:val="both"/>
        <w:rPr>
          <w:rFonts w:cs="Calibri"/>
          <w:color w:val="000000" w:themeColor="text1"/>
          <w:sz w:val="22"/>
          <w:szCs w:val="22"/>
        </w:rPr>
      </w:pPr>
      <w:r w:rsidRPr="009559B2">
        <w:rPr>
          <w:rFonts w:cs="Calibri"/>
          <w:color w:val="000000" w:themeColor="text1"/>
          <w:sz w:val="22"/>
          <w:szCs w:val="22"/>
        </w:rPr>
        <w:t>Local and national evidence suggests experiences of violence are likely to be key drivers of psychological distress and mental health conditions for women in the ACT.</w:t>
      </w:r>
    </w:p>
    <w:p w14:paraId="6CD58C6D" w14:textId="77777777" w:rsidR="00456CA1" w:rsidRPr="009559B2" w:rsidRDefault="00456CA1" w:rsidP="00456CA1">
      <w:pPr>
        <w:pStyle w:val="ListParagraph"/>
        <w:numPr>
          <w:ilvl w:val="0"/>
          <w:numId w:val="8"/>
        </w:numPr>
        <w:spacing w:line="279" w:lineRule="auto"/>
        <w:jc w:val="both"/>
        <w:rPr>
          <w:rFonts w:cs="Calibri"/>
          <w:color w:val="000000" w:themeColor="text1"/>
          <w:sz w:val="22"/>
          <w:szCs w:val="22"/>
        </w:rPr>
      </w:pPr>
      <w:r w:rsidRPr="009559B2">
        <w:rPr>
          <w:rFonts w:cs="Calibri"/>
          <w:color w:val="000000" w:themeColor="text1"/>
          <w:sz w:val="22"/>
          <w:szCs w:val="22"/>
        </w:rPr>
        <w:t xml:space="preserve">A significant proportion of women have poor experiences with healthcare and are wary about seeking help from professionals. </w:t>
      </w:r>
    </w:p>
    <w:p w14:paraId="57791088" w14:textId="77777777" w:rsidR="00456CA1" w:rsidRPr="009559B2" w:rsidRDefault="00456CA1" w:rsidP="00456CA1">
      <w:pPr>
        <w:jc w:val="both"/>
        <w:rPr>
          <w:rFonts w:cs="Calibri"/>
          <w:color w:val="000000" w:themeColor="text1"/>
          <w:sz w:val="22"/>
          <w:szCs w:val="22"/>
        </w:rPr>
      </w:pPr>
      <w:r w:rsidRPr="009559B2">
        <w:rPr>
          <w:rFonts w:cs="Calibri"/>
          <w:color w:val="000000" w:themeColor="text1"/>
          <w:sz w:val="22"/>
          <w:szCs w:val="22"/>
        </w:rPr>
        <w:t xml:space="preserve">In terms of the current consultation on commissioning, we understand that there is no quick solution that will address the findings presented here. We also understand that it may not be workable (or even desirable) to include “women” as a priority population for the purposes of commissioning. However, there may be opportunities to design procurement guidelines, outcomes and other relevant policies in a way that helps to meet the needs of women and responds to the issues identified here. </w:t>
      </w:r>
    </w:p>
    <w:p w14:paraId="5A7C10A4" w14:textId="77777777" w:rsidR="00456CA1" w:rsidRPr="009559B2" w:rsidRDefault="00456CA1" w:rsidP="00456CA1">
      <w:pPr>
        <w:jc w:val="both"/>
        <w:rPr>
          <w:rFonts w:cs="Calibri"/>
          <w:color w:val="000000" w:themeColor="text1"/>
          <w:sz w:val="22"/>
          <w:szCs w:val="22"/>
        </w:rPr>
      </w:pPr>
      <w:r w:rsidRPr="009559B2">
        <w:rPr>
          <w:rFonts w:cs="Calibri"/>
          <w:color w:val="000000" w:themeColor="text1"/>
          <w:sz w:val="22"/>
          <w:szCs w:val="22"/>
        </w:rPr>
        <w:t xml:space="preserve">We would be happy to work further with the Mental Health Policy </w:t>
      </w:r>
      <w:r w:rsidR="00E53D52">
        <w:rPr>
          <w:rFonts w:cs="Calibri"/>
          <w:color w:val="000000" w:themeColor="text1"/>
          <w:sz w:val="22"/>
          <w:szCs w:val="22"/>
        </w:rPr>
        <w:t>Unit</w:t>
      </w:r>
      <w:r w:rsidRPr="009559B2">
        <w:rPr>
          <w:rFonts w:cs="Calibri"/>
          <w:color w:val="000000" w:themeColor="text1"/>
          <w:sz w:val="22"/>
          <w:szCs w:val="22"/>
        </w:rPr>
        <w:t xml:space="preserve"> and other stakeholders to identify ways to put this knowledge into action. For the moment we encourage ACT Government to:</w:t>
      </w:r>
    </w:p>
    <w:p w14:paraId="6497383F" w14:textId="77777777" w:rsidR="00456CA1" w:rsidRDefault="00456CA1" w:rsidP="00FF423C">
      <w:pPr>
        <w:pStyle w:val="ListParagraph"/>
        <w:numPr>
          <w:ilvl w:val="0"/>
          <w:numId w:val="10"/>
        </w:numPr>
        <w:spacing w:line="279" w:lineRule="auto"/>
        <w:jc w:val="both"/>
        <w:rPr>
          <w:rFonts w:cs="Calibri"/>
          <w:b/>
          <w:bCs/>
          <w:color w:val="000000" w:themeColor="text1"/>
          <w:sz w:val="22"/>
          <w:szCs w:val="22"/>
        </w:rPr>
      </w:pPr>
      <w:r w:rsidRPr="009559B2">
        <w:rPr>
          <w:rFonts w:cs="Calibri"/>
          <w:b/>
          <w:bCs/>
          <w:color w:val="000000" w:themeColor="text1"/>
          <w:sz w:val="22"/>
          <w:szCs w:val="22"/>
        </w:rPr>
        <w:t>Wherever possible in the process of commissioning, incorporate learning from research, lived experience and policy development that addresses gendered dimensions of mental health</w:t>
      </w:r>
      <w:r w:rsidR="000D63E0">
        <w:rPr>
          <w:rFonts w:cs="Calibri"/>
          <w:b/>
          <w:bCs/>
          <w:color w:val="000000" w:themeColor="text1"/>
          <w:sz w:val="22"/>
          <w:szCs w:val="22"/>
        </w:rPr>
        <w:t>.</w:t>
      </w:r>
    </w:p>
    <w:p w14:paraId="1855AC78" w14:textId="77777777" w:rsidR="00FF3B86" w:rsidRDefault="00FF3B86" w:rsidP="00FF3B86">
      <w:pPr>
        <w:pStyle w:val="ListParagraph"/>
        <w:spacing w:line="279" w:lineRule="auto"/>
        <w:jc w:val="both"/>
        <w:rPr>
          <w:rFonts w:cs="Calibri"/>
          <w:b/>
          <w:bCs/>
          <w:color w:val="000000" w:themeColor="text1"/>
          <w:sz w:val="22"/>
          <w:szCs w:val="22"/>
        </w:rPr>
      </w:pPr>
    </w:p>
    <w:p w14:paraId="29C63A6E" w14:textId="77777777" w:rsidR="00FF3B86" w:rsidRPr="009559B2" w:rsidRDefault="00FF3B86" w:rsidP="00FF423C">
      <w:pPr>
        <w:pStyle w:val="ListParagraph"/>
        <w:numPr>
          <w:ilvl w:val="0"/>
          <w:numId w:val="10"/>
        </w:numPr>
        <w:spacing w:line="279" w:lineRule="auto"/>
        <w:jc w:val="both"/>
        <w:rPr>
          <w:rFonts w:cs="Calibri"/>
          <w:b/>
          <w:bCs/>
          <w:color w:val="000000" w:themeColor="text1"/>
          <w:sz w:val="22"/>
          <w:szCs w:val="22"/>
        </w:rPr>
      </w:pPr>
      <w:r w:rsidRPr="00FF3B86">
        <w:rPr>
          <w:rFonts w:cs="Calibri"/>
          <w:b/>
          <w:bCs/>
          <w:color w:val="000000" w:themeColor="text1"/>
          <w:sz w:val="22"/>
          <w:szCs w:val="22"/>
        </w:rPr>
        <w:t>Through the commissioning process, work towards improving services' capability to respond effectively to experiences of violence and trauma, and their flow-on effects</w:t>
      </w:r>
      <w:r w:rsidR="000D63E0">
        <w:rPr>
          <w:rFonts w:cs="Calibri"/>
          <w:b/>
          <w:bCs/>
          <w:color w:val="000000" w:themeColor="text1"/>
          <w:sz w:val="22"/>
          <w:szCs w:val="22"/>
        </w:rPr>
        <w:t>.</w:t>
      </w:r>
    </w:p>
    <w:p w14:paraId="34BC68B3" w14:textId="77777777" w:rsidR="00456CA1" w:rsidRPr="009559B2" w:rsidRDefault="00456CA1" w:rsidP="00456CA1">
      <w:pPr>
        <w:pStyle w:val="ListParagraph"/>
        <w:jc w:val="both"/>
        <w:rPr>
          <w:rFonts w:cs="Calibri"/>
          <w:b/>
          <w:bCs/>
          <w:color w:val="000000" w:themeColor="text1"/>
          <w:sz w:val="22"/>
          <w:szCs w:val="22"/>
        </w:rPr>
      </w:pPr>
    </w:p>
    <w:p w14:paraId="3B097398" w14:textId="77777777" w:rsidR="00456CA1" w:rsidRPr="00E53D52" w:rsidRDefault="00456CA1" w:rsidP="00FF423C">
      <w:pPr>
        <w:pStyle w:val="ListParagraph"/>
        <w:numPr>
          <w:ilvl w:val="0"/>
          <w:numId w:val="10"/>
        </w:numPr>
        <w:spacing w:line="279" w:lineRule="auto"/>
        <w:jc w:val="both"/>
        <w:rPr>
          <w:rFonts w:cs="Calibri"/>
          <w:b/>
          <w:bCs/>
          <w:color w:val="000000" w:themeColor="text1"/>
          <w:sz w:val="22"/>
          <w:szCs w:val="22"/>
        </w:rPr>
      </w:pPr>
      <w:r w:rsidRPr="009559B2">
        <w:rPr>
          <w:rFonts w:cs="Calibri"/>
          <w:b/>
          <w:bCs/>
          <w:color w:val="000000" w:themeColor="text1"/>
          <w:sz w:val="22"/>
          <w:szCs w:val="22"/>
        </w:rPr>
        <w:t>Prioritise improving access to mental health support and services for people who have experienced violence, including sexual violence</w:t>
      </w:r>
      <w:r w:rsidR="000D63E0">
        <w:rPr>
          <w:rFonts w:cs="Calibri"/>
          <w:b/>
          <w:bCs/>
          <w:color w:val="000000" w:themeColor="text1"/>
          <w:sz w:val="22"/>
          <w:szCs w:val="22"/>
        </w:rPr>
        <w:t>.</w:t>
      </w:r>
    </w:p>
    <w:p w14:paraId="74A45C84" w14:textId="77777777" w:rsidR="00456CA1" w:rsidRPr="009559B2" w:rsidRDefault="00456CA1" w:rsidP="00456CA1">
      <w:pPr>
        <w:pStyle w:val="ListParagraph"/>
        <w:jc w:val="both"/>
        <w:rPr>
          <w:rFonts w:cs="Calibri"/>
          <w:b/>
          <w:bCs/>
          <w:color w:val="000000" w:themeColor="text1"/>
          <w:sz w:val="22"/>
          <w:szCs w:val="22"/>
        </w:rPr>
      </w:pPr>
    </w:p>
    <w:p w14:paraId="607E2D09" w14:textId="77777777" w:rsidR="00456CA1" w:rsidRPr="009559B2" w:rsidRDefault="00456CA1" w:rsidP="00FF423C">
      <w:pPr>
        <w:pStyle w:val="ListParagraph"/>
        <w:numPr>
          <w:ilvl w:val="0"/>
          <w:numId w:val="10"/>
        </w:numPr>
        <w:spacing w:line="279" w:lineRule="auto"/>
        <w:jc w:val="both"/>
        <w:rPr>
          <w:rFonts w:cs="Calibri"/>
          <w:b/>
          <w:bCs/>
          <w:color w:val="000000" w:themeColor="text1"/>
          <w:sz w:val="22"/>
          <w:szCs w:val="22"/>
        </w:rPr>
      </w:pPr>
      <w:r w:rsidRPr="009559B2">
        <w:rPr>
          <w:rFonts w:cs="Calibri"/>
          <w:b/>
          <w:bCs/>
          <w:color w:val="000000" w:themeColor="text1"/>
          <w:sz w:val="22"/>
          <w:szCs w:val="22"/>
        </w:rPr>
        <w:t>When mapping mental health services, promotion and prevention, consider health promotion and access to support in a broader context, including services offering counselling in relation to violence</w:t>
      </w:r>
      <w:r w:rsidR="000D63E0">
        <w:rPr>
          <w:rFonts w:cs="Calibri"/>
          <w:b/>
          <w:bCs/>
          <w:color w:val="000000" w:themeColor="text1"/>
          <w:sz w:val="22"/>
          <w:szCs w:val="22"/>
        </w:rPr>
        <w:t>.</w:t>
      </w:r>
      <w:r w:rsidRPr="009559B2">
        <w:rPr>
          <w:rFonts w:cs="Calibri"/>
          <w:b/>
          <w:bCs/>
          <w:color w:val="000000" w:themeColor="text1"/>
          <w:sz w:val="22"/>
          <w:szCs w:val="22"/>
        </w:rPr>
        <w:t xml:space="preserve"> </w:t>
      </w:r>
    </w:p>
    <w:p w14:paraId="6392A07D" w14:textId="77777777" w:rsidR="001846D4" w:rsidRDefault="001846D4" w:rsidP="00386B68">
      <w:pPr>
        <w:jc w:val="both"/>
        <w:rPr>
          <w:rFonts w:cs="Calibri"/>
          <w:color w:val="000000" w:themeColor="text1"/>
          <w:sz w:val="22"/>
          <w:szCs w:val="22"/>
        </w:rPr>
      </w:pPr>
    </w:p>
    <w:p w14:paraId="0B23BCAC" w14:textId="77777777" w:rsidR="001846D4" w:rsidRDefault="001846D4" w:rsidP="00386B68">
      <w:pPr>
        <w:jc w:val="both"/>
        <w:rPr>
          <w:rFonts w:cs="Calibri"/>
          <w:color w:val="000000" w:themeColor="text1"/>
          <w:sz w:val="22"/>
          <w:szCs w:val="22"/>
        </w:rPr>
      </w:pPr>
    </w:p>
    <w:p w14:paraId="7509BD1E" w14:textId="77777777" w:rsidR="00B30516" w:rsidRDefault="00386B68" w:rsidP="00386B68">
      <w:pPr>
        <w:jc w:val="both"/>
        <w:rPr>
          <w:rFonts w:cs="Calibri"/>
          <w:color w:val="000000" w:themeColor="text1"/>
          <w:sz w:val="22"/>
          <w:szCs w:val="22"/>
        </w:rPr>
      </w:pPr>
      <w:r w:rsidRPr="009559B2">
        <w:rPr>
          <w:rFonts w:cs="Calibri"/>
          <w:color w:val="000000" w:themeColor="text1"/>
          <w:sz w:val="22"/>
          <w:szCs w:val="22"/>
        </w:rPr>
        <w:lastRenderedPageBreak/>
        <w:t xml:space="preserve">We look forward to engaging further with mental health policy and service development in the ACT. </w:t>
      </w:r>
    </w:p>
    <w:p w14:paraId="11A90F4D" w14:textId="77777777" w:rsidR="00386B68" w:rsidRPr="009559B2" w:rsidRDefault="00386B68" w:rsidP="00386B68">
      <w:pPr>
        <w:jc w:val="both"/>
        <w:rPr>
          <w:rFonts w:cs="Calibri"/>
          <w:color w:val="000000" w:themeColor="text1"/>
          <w:sz w:val="22"/>
          <w:szCs w:val="22"/>
        </w:rPr>
      </w:pPr>
      <w:r w:rsidRPr="009559B2">
        <w:rPr>
          <w:rFonts w:cs="Calibri"/>
          <w:color w:val="000000" w:themeColor="text1"/>
          <w:sz w:val="22"/>
          <w:szCs w:val="22"/>
        </w:rPr>
        <w:t xml:space="preserve">Please get in touch if you would like us to expand on any aspect of this submission. </w:t>
      </w:r>
    </w:p>
    <w:p w14:paraId="1DBCC9ED" w14:textId="77777777" w:rsidR="00BC0479" w:rsidRDefault="00BC0479" w:rsidP="00386B68">
      <w:pPr>
        <w:jc w:val="both"/>
        <w:rPr>
          <w:rFonts w:cs="Calibri"/>
          <w:color w:val="000000" w:themeColor="text1"/>
          <w:sz w:val="22"/>
          <w:szCs w:val="22"/>
        </w:rPr>
      </w:pPr>
    </w:p>
    <w:p w14:paraId="6E9B517A" w14:textId="77777777" w:rsidR="00386B68" w:rsidRPr="009559B2" w:rsidRDefault="00386B68" w:rsidP="00386B68">
      <w:pPr>
        <w:jc w:val="both"/>
        <w:rPr>
          <w:rFonts w:cs="Calibri"/>
          <w:color w:val="000000" w:themeColor="text1"/>
          <w:sz w:val="22"/>
          <w:szCs w:val="22"/>
        </w:rPr>
      </w:pPr>
      <w:r w:rsidRPr="009559B2">
        <w:rPr>
          <w:rFonts w:cs="Calibri"/>
          <w:color w:val="000000" w:themeColor="text1"/>
          <w:sz w:val="22"/>
          <w:szCs w:val="22"/>
        </w:rPr>
        <w:t>Contact: Lauren Anthes, Chief Executive Officer</w:t>
      </w:r>
    </w:p>
    <w:p w14:paraId="5791A0FE" w14:textId="77777777" w:rsidR="00386B68" w:rsidRPr="009559B2" w:rsidRDefault="00386B68" w:rsidP="00386B68">
      <w:pPr>
        <w:jc w:val="both"/>
        <w:rPr>
          <w:rFonts w:cs="Calibri"/>
          <w:color w:val="000000" w:themeColor="text1"/>
          <w:sz w:val="22"/>
          <w:szCs w:val="22"/>
        </w:rPr>
      </w:pPr>
      <w:r w:rsidRPr="009559B2">
        <w:rPr>
          <w:rFonts w:cs="Calibri"/>
          <w:color w:val="000000" w:themeColor="text1"/>
          <w:sz w:val="22"/>
          <w:szCs w:val="22"/>
        </w:rPr>
        <w:t>Phone: 02 6290 2166</w:t>
      </w:r>
    </w:p>
    <w:p w14:paraId="08DA0ADE" w14:textId="77777777" w:rsidR="00386B68" w:rsidRPr="009559B2" w:rsidRDefault="00386B68" w:rsidP="00386B68">
      <w:pPr>
        <w:jc w:val="both"/>
        <w:rPr>
          <w:rFonts w:cs="Calibri"/>
          <w:color w:val="000000" w:themeColor="text1"/>
          <w:sz w:val="22"/>
          <w:szCs w:val="22"/>
        </w:rPr>
      </w:pPr>
      <w:r w:rsidRPr="009559B2">
        <w:rPr>
          <w:rFonts w:cs="Calibri"/>
          <w:color w:val="000000" w:themeColor="text1"/>
          <w:sz w:val="22"/>
          <w:szCs w:val="22"/>
        </w:rPr>
        <w:t xml:space="preserve">Email: </w:t>
      </w:r>
      <w:hyperlink r:id="rId11">
        <w:r w:rsidRPr="009559B2">
          <w:rPr>
            <w:rStyle w:val="Hyperlink"/>
            <w:rFonts w:cs="Calibri"/>
            <w:sz w:val="22"/>
            <w:szCs w:val="22"/>
          </w:rPr>
          <w:t>admin@womenshealtmatters.org.au</w:t>
        </w:r>
      </w:hyperlink>
      <w:r w:rsidRPr="009559B2">
        <w:rPr>
          <w:rFonts w:cs="Calibri"/>
          <w:color w:val="000000" w:themeColor="text1"/>
          <w:sz w:val="22"/>
          <w:szCs w:val="22"/>
        </w:rPr>
        <w:t xml:space="preserve"> </w:t>
      </w:r>
    </w:p>
    <w:p w14:paraId="2FDF8AEA" w14:textId="77777777" w:rsidR="001846D4" w:rsidRDefault="00386B68" w:rsidP="00386B68">
      <w:pPr>
        <w:jc w:val="both"/>
        <w:rPr>
          <w:rFonts w:cs="Calibri"/>
          <w:color w:val="000000" w:themeColor="text1"/>
          <w:sz w:val="22"/>
          <w:szCs w:val="22"/>
        </w:rPr>
      </w:pPr>
      <w:r w:rsidRPr="009559B2">
        <w:rPr>
          <w:rFonts w:cs="Calibri"/>
          <w:color w:val="000000" w:themeColor="text1"/>
          <w:sz w:val="22"/>
          <w:szCs w:val="22"/>
        </w:rPr>
        <w:t>Postal Address: P Box 385, Mawson ACT 2607</w:t>
      </w:r>
    </w:p>
    <w:p w14:paraId="2DE1098D" w14:textId="77777777" w:rsidR="001846D4" w:rsidRDefault="001846D4">
      <w:pPr>
        <w:rPr>
          <w:rFonts w:cs="Calibri"/>
          <w:color w:val="000000" w:themeColor="text1"/>
          <w:sz w:val="22"/>
          <w:szCs w:val="22"/>
        </w:rPr>
      </w:pPr>
      <w:r>
        <w:rPr>
          <w:rFonts w:cs="Calibri"/>
          <w:color w:val="000000" w:themeColor="text1"/>
          <w:sz w:val="22"/>
          <w:szCs w:val="22"/>
        </w:rPr>
        <w:br w:type="page"/>
      </w:r>
    </w:p>
    <w:p w14:paraId="2D383832" w14:textId="77777777" w:rsidR="006F5633" w:rsidRPr="006F5633" w:rsidRDefault="006F5633" w:rsidP="006F5633">
      <w:pPr>
        <w:ind w:left="567" w:hanging="567"/>
        <w:jc w:val="both"/>
        <w:rPr>
          <w:rFonts w:cs="Calibri"/>
          <w:b/>
          <w:bCs/>
          <w:color w:val="000000" w:themeColor="text1"/>
          <w:sz w:val="22"/>
          <w:szCs w:val="22"/>
        </w:rPr>
      </w:pPr>
      <w:r w:rsidRPr="006F5633">
        <w:rPr>
          <w:rFonts w:cs="Calibri"/>
          <w:b/>
          <w:bCs/>
          <w:color w:val="000000" w:themeColor="text1"/>
          <w:sz w:val="22"/>
          <w:szCs w:val="22"/>
        </w:rPr>
        <w:lastRenderedPageBreak/>
        <w:t>References</w:t>
      </w:r>
    </w:p>
    <w:p w14:paraId="60D0A510" w14:textId="77777777" w:rsidR="002016B0" w:rsidRPr="002016B0" w:rsidRDefault="002016B0" w:rsidP="002016B0">
      <w:pPr>
        <w:rPr>
          <w:rFonts w:ascii="Aptos" w:hAnsi="Aptos" w:cs="Calibri"/>
          <w:sz w:val="22"/>
          <w:szCs w:val="22"/>
        </w:rPr>
      </w:pPr>
      <w:r w:rsidRPr="002016B0">
        <w:rPr>
          <w:rFonts w:ascii="Aptos" w:hAnsi="Aptos" w:cs="Calibri"/>
          <w:sz w:val="22"/>
          <w:szCs w:val="22"/>
        </w:rPr>
        <w:t xml:space="preserve">ACT Government. (2025). Draft Mental Health Commissioning Strategic Investment Plan (SIP). </w:t>
      </w:r>
      <w:hyperlink r:id="rId12" w:history="1">
        <w:r w:rsidRPr="002016B0">
          <w:rPr>
            <w:rStyle w:val="Hyperlink"/>
            <w:rFonts w:ascii="Aptos" w:hAnsi="Aptos" w:cs="Calibri"/>
            <w:sz w:val="22"/>
            <w:szCs w:val="22"/>
          </w:rPr>
          <w:t>https://www.communityservices.act.gov.au/__data/assets/pdf_file/0004/2838001/Mental-Health-Commissioning-Strategic-Investment-Plan-Draft.pdf</w:t>
        </w:r>
      </w:hyperlink>
    </w:p>
    <w:p w14:paraId="3F593AEB" w14:textId="77777777" w:rsidR="002016B0" w:rsidRPr="002016B0" w:rsidRDefault="002016B0" w:rsidP="002016B0">
      <w:pPr>
        <w:rPr>
          <w:rFonts w:ascii="Aptos" w:hAnsi="Aptos"/>
          <w:sz w:val="22"/>
          <w:szCs w:val="22"/>
        </w:rPr>
      </w:pPr>
      <w:r w:rsidRPr="002016B0">
        <w:rPr>
          <w:rFonts w:ascii="Aptos" w:hAnsi="Aptos"/>
          <w:sz w:val="22"/>
          <w:szCs w:val="22"/>
        </w:rPr>
        <w:t xml:space="preserve">ACT Government (2023). </w:t>
      </w:r>
      <w:r w:rsidRPr="002016B0">
        <w:rPr>
          <w:rFonts w:ascii="Aptos" w:hAnsi="Aptos"/>
          <w:i/>
          <w:iCs/>
          <w:sz w:val="22"/>
          <w:szCs w:val="22"/>
        </w:rPr>
        <w:t>Wellbeing Data Dashboard: Access to Health Services.</w:t>
      </w:r>
      <w:r w:rsidRPr="002016B0">
        <w:rPr>
          <w:rFonts w:ascii="Aptos" w:hAnsi="Aptos"/>
          <w:sz w:val="22"/>
          <w:szCs w:val="22"/>
        </w:rPr>
        <w:t xml:space="preserve"> </w:t>
      </w:r>
      <w:hyperlink r:id="rId13" w:history="1">
        <w:r w:rsidRPr="002016B0">
          <w:rPr>
            <w:rStyle w:val="Hyperlink"/>
            <w:rFonts w:ascii="Aptos" w:hAnsi="Aptos"/>
            <w:sz w:val="22"/>
            <w:szCs w:val="22"/>
          </w:rPr>
          <w:t>https://www.act.gov.au/wellbeing/explore-overall-wellbeing/health/access-to-health-services</w:t>
        </w:r>
      </w:hyperlink>
      <w:r w:rsidRPr="002016B0">
        <w:rPr>
          <w:rFonts w:ascii="Aptos" w:hAnsi="Aptos"/>
          <w:sz w:val="22"/>
          <w:szCs w:val="22"/>
        </w:rPr>
        <w:t xml:space="preserve"> </w:t>
      </w:r>
    </w:p>
    <w:p w14:paraId="5D36169F" w14:textId="77777777" w:rsidR="002016B0" w:rsidRPr="002016B0" w:rsidRDefault="002016B0" w:rsidP="002016B0">
      <w:pPr>
        <w:rPr>
          <w:rFonts w:ascii="Aptos" w:hAnsi="Aptos"/>
          <w:sz w:val="22"/>
          <w:szCs w:val="22"/>
        </w:rPr>
      </w:pPr>
      <w:r w:rsidRPr="002016B0">
        <w:rPr>
          <w:rFonts w:ascii="Aptos" w:hAnsi="Aptos"/>
          <w:sz w:val="22"/>
          <w:szCs w:val="22"/>
        </w:rPr>
        <w:t xml:space="preserve">ACT Government. (2022). </w:t>
      </w:r>
      <w:r w:rsidRPr="002016B0">
        <w:rPr>
          <w:rFonts w:ascii="Aptos" w:hAnsi="Aptos"/>
          <w:i/>
          <w:iCs/>
          <w:sz w:val="22"/>
          <w:szCs w:val="22"/>
        </w:rPr>
        <w:t>2022 ACT General Health Survey Statistical Report.</w:t>
      </w:r>
      <w:r w:rsidRPr="002016B0">
        <w:rPr>
          <w:rFonts w:ascii="Aptos" w:hAnsi="Aptos"/>
          <w:sz w:val="22"/>
          <w:szCs w:val="22"/>
        </w:rPr>
        <w:t xml:space="preserve"> </w:t>
      </w:r>
      <w:hyperlink r:id="rId14" w:history="1">
        <w:r w:rsidRPr="002016B0">
          <w:rPr>
            <w:rStyle w:val="Hyperlink"/>
            <w:rFonts w:ascii="Aptos" w:hAnsi="Aptos"/>
            <w:sz w:val="22"/>
            <w:szCs w:val="22"/>
          </w:rPr>
          <w:t>https://www.act.gov.au/directorates-and-agencies/act-health/data-statistics-and-surveys/healthstats-act/epidemiology-publications/2022-act-general-health-survey-statistical-report</w:t>
        </w:r>
      </w:hyperlink>
      <w:r w:rsidRPr="002016B0">
        <w:rPr>
          <w:rFonts w:ascii="Aptos" w:hAnsi="Aptos"/>
          <w:sz w:val="22"/>
          <w:szCs w:val="22"/>
        </w:rPr>
        <w:t xml:space="preserve"> </w:t>
      </w:r>
    </w:p>
    <w:p w14:paraId="7F0EB603" w14:textId="77777777" w:rsidR="002016B0" w:rsidRPr="002016B0" w:rsidRDefault="002016B0" w:rsidP="002016B0">
      <w:pPr>
        <w:rPr>
          <w:rFonts w:ascii="Aptos" w:hAnsi="Aptos" w:cs="Calibri"/>
          <w:sz w:val="22"/>
          <w:szCs w:val="22"/>
        </w:rPr>
      </w:pPr>
      <w:r w:rsidRPr="002016B0">
        <w:rPr>
          <w:rFonts w:ascii="Aptos" w:hAnsi="Aptos" w:cs="Calibri"/>
          <w:sz w:val="22"/>
          <w:szCs w:val="22"/>
        </w:rPr>
        <w:t xml:space="preserve">ACT Government. (2016). </w:t>
      </w:r>
      <w:r w:rsidRPr="002016B0">
        <w:rPr>
          <w:rFonts w:ascii="Aptos" w:hAnsi="Aptos" w:cs="Calibri"/>
          <w:i/>
          <w:iCs/>
          <w:sz w:val="22"/>
          <w:szCs w:val="22"/>
        </w:rPr>
        <w:t>ACT Women’s Plan 2016-2026</w:t>
      </w:r>
      <w:r w:rsidRPr="002016B0">
        <w:rPr>
          <w:rFonts w:ascii="Aptos" w:hAnsi="Aptos" w:cs="Calibri"/>
          <w:sz w:val="22"/>
          <w:szCs w:val="22"/>
        </w:rPr>
        <w:t xml:space="preserve">. </w:t>
      </w:r>
      <w:hyperlink r:id="rId15" w:history="1">
        <w:r w:rsidRPr="002016B0">
          <w:rPr>
            <w:rStyle w:val="Hyperlink"/>
            <w:rFonts w:ascii="Aptos" w:hAnsi="Aptos" w:cs="Calibri"/>
            <w:sz w:val="22"/>
            <w:szCs w:val="22"/>
          </w:rPr>
          <w:t>https://www.act.gov.au/__data/assets/pdf_file/0004/2380927/ACT-Womens-Plan-2012-2026.pdf</w:t>
        </w:r>
      </w:hyperlink>
      <w:r w:rsidRPr="002016B0">
        <w:rPr>
          <w:rFonts w:ascii="Aptos" w:hAnsi="Aptos" w:cs="Calibri"/>
          <w:sz w:val="22"/>
          <w:szCs w:val="22"/>
        </w:rPr>
        <w:t xml:space="preserve"> </w:t>
      </w:r>
    </w:p>
    <w:p w14:paraId="726992A3" w14:textId="77777777" w:rsidR="002016B0" w:rsidRPr="002016B0" w:rsidRDefault="002016B0" w:rsidP="002016B0">
      <w:pPr>
        <w:rPr>
          <w:rFonts w:ascii="Aptos" w:hAnsi="Aptos" w:cs="Calibri"/>
          <w:sz w:val="22"/>
          <w:szCs w:val="22"/>
        </w:rPr>
      </w:pPr>
      <w:r w:rsidRPr="002016B0">
        <w:rPr>
          <w:rFonts w:ascii="Aptos" w:hAnsi="Aptos" w:cs="Calibri"/>
          <w:sz w:val="22"/>
          <w:szCs w:val="22"/>
        </w:rPr>
        <w:t xml:space="preserve">Australian Government. (2018). </w:t>
      </w:r>
      <w:r w:rsidRPr="002016B0">
        <w:rPr>
          <w:rFonts w:ascii="Aptos" w:hAnsi="Aptos" w:cs="Calibri"/>
          <w:i/>
          <w:iCs/>
          <w:sz w:val="22"/>
          <w:szCs w:val="22"/>
        </w:rPr>
        <w:t>National Women’s Health Strategy 2020-2030</w:t>
      </w:r>
      <w:r w:rsidRPr="002016B0">
        <w:rPr>
          <w:rFonts w:ascii="Aptos" w:hAnsi="Aptos" w:cs="Calibri"/>
          <w:sz w:val="22"/>
          <w:szCs w:val="22"/>
        </w:rPr>
        <w:t xml:space="preserve">. </w:t>
      </w:r>
      <w:hyperlink r:id="rId16" w:history="1">
        <w:r w:rsidRPr="002016B0">
          <w:rPr>
            <w:rStyle w:val="Hyperlink"/>
            <w:rFonts w:ascii="Aptos" w:hAnsi="Aptos" w:cs="Calibri"/>
            <w:sz w:val="22"/>
            <w:szCs w:val="22"/>
          </w:rPr>
          <w:t>https://www.health.gov.au/sites/default/files/documents/2021/05/national-women-s-health-strategy-2020-2030_0.pdf</w:t>
        </w:r>
      </w:hyperlink>
      <w:r w:rsidRPr="002016B0">
        <w:rPr>
          <w:rFonts w:ascii="Aptos" w:hAnsi="Aptos" w:cs="Calibri"/>
          <w:sz w:val="22"/>
          <w:szCs w:val="22"/>
        </w:rPr>
        <w:t xml:space="preserve"> </w:t>
      </w:r>
    </w:p>
    <w:p w14:paraId="572B79AA" w14:textId="77777777" w:rsidR="002016B0" w:rsidRPr="002016B0" w:rsidRDefault="002016B0" w:rsidP="002016B0">
      <w:pPr>
        <w:rPr>
          <w:rFonts w:ascii="Aptos" w:hAnsi="Aptos" w:cs="Calibri"/>
          <w:sz w:val="22"/>
          <w:szCs w:val="22"/>
        </w:rPr>
      </w:pPr>
      <w:r w:rsidRPr="002016B0">
        <w:rPr>
          <w:rFonts w:ascii="Aptos" w:hAnsi="Aptos" w:cs="Calibri"/>
          <w:sz w:val="22"/>
          <w:szCs w:val="22"/>
        </w:rPr>
        <w:t xml:space="preserve">Australian Government and ACT Government. (2022). </w:t>
      </w:r>
      <w:r w:rsidRPr="002016B0">
        <w:rPr>
          <w:rFonts w:ascii="Aptos" w:hAnsi="Aptos" w:cs="Calibri"/>
          <w:i/>
          <w:iCs/>
          <w:sz w:val="22"/>
          <w:szCs w:val="22"/>
        </w:rPr>
        <w:t>National Mental Health and Suicide Prevention Agreement – Bilateral Schedule: Australian Capital Territory</w:t>
      </w:r>
      <w:r w:rsidRPr="002016B0">
        <w:rPr>
          <w:rFonts w:ascii="Aptos" w:hAnsi="Aptos" w:cs="Calibri"/>
          <w:sz w:val="22"/>
          <w:szCs w:val="22"/>
        </w:rPr>
        <w:t xml:space="preserve">. </w:t>
      </w:r>
      <w:hyperlink r:id="rId17" w:history="1">
        <w:r w:rsidRPr="002016B0">
          <w:rPr>
            <w:rStyle w:val="Hyperlink"/>
            <w:rFonts w:ascii="Aptos" w:hAnsi="Aptos" w:cs="Calibri"/>
            <w:sz w:val="22"/>
            <w:szCs w:val="22"/>
          </w:rPr>
          <w:t>https://federalfinancialrelations.gov.au/sites/federalfinancialrelations.gov.au/files/2022-04/nmh_sp_bilateral_agreement_act.pdf</w:t>
        </w:r>
      </w:hyperlink>
      <w:r w:rsidRPr="002016B0">
        <w:rPr>
          <w:rFonts w:ascii="Aptos" w:hAnsi="Aptos" w:cs="Calibri"/>
          <w:sz w:val="22"/>
          <w:szCs w:val="22"/>
        </w:rPr>
        <w:t xml:space="preserve"> </w:t>
      </w:r>
    </w:p>
    <w:p w14:paraId="39E751BD" w14:textId="77777777" w:rsidR="002016B0" w:rsidRPr="002016B0" w:rsidRDefault="002016B0" w:rsidP="002016B0">
      <w:pPr>
        <w:rPr>
          <w:rFonts w:ascii="Aptos" w:hAnsi="Aptos" w:cs="Calibri"/>
          <w:sz w:val="22"/>
          <w:szCs w:val="22"/>
        </w:rPr>
      </w:pPr>
      <w:r w:rsidRPr="002016B0">
        <w:rPr>
          <w:rFonts w:ascii="Aptos" w:hAnsi="Aptos"/>
          <w:sz w:val="22"/>
          <w:szCs w:val="22"/>
        </w:rPr>
        <w:t xml:space="preserve">Australian Institute of Health and Welfare. (2025). Prevalence and impact of mental illness. </w:t>
      </w:r>
      <w:hyperlink r:id="rId18" w:history="1">
        <w:r w:rsidRPr="002016B0">
          <w:rPr>
            <w:rStyle w:val="Hyperlink"/>
            <w:rFonts w:ascii="Aptos" w:hAnsi="Aptos" w:cs="Calibri"/>
            <w:sz w:val="22"/>
            <w:szCs w:val="22"/>
          </w:rPr>
          <w:t>https://www.aihw.gov.au/mental-health/overview/prevalence-and-impact-of-mental-illness</w:t>
        </w:r>
      </w:hyperlink>
    </w:p>
    <w:p w14:paraId="7A379779" w14:textId="77777777" w:rsidR="002016B0" w:rsidRPr="002016B0" w:rsidRDefault="002016B0" w:rsidP="002016B0">
      <w:pPr>
        <w:rPr>
          <w:rFonts w:ascii="Aptos" w:hAnsi="Aptos"/>
          <w:sz w:val="22"/>
          <w:szCs w:val="22"/>
        </w:rPr>
      </w:pPr>
      <w:r w:rsidRPr="002016B0">
        <w:rPr>
          <w:rFonts w:ascii="Aptos" w:hAnsi="Aptos"/>
          <w:sz w:val="22"/>
          <w:szCs w:val="22"/>
        </w:rPr>
        <w:t xml:space="preserve">Australian Institute of Health and Welfare. (2023). </w:t>
      </w:r>
      <w:r w:rsidRPr="002016B0">
        <w:rPr>
          <w:rFonts w:ascii="Aptos" w:hAnsi="Aptos"/>
          <w:i/>
          <w:iCs/>
          <w:sz w:val="22"/>
          <w:szCs w:val="22"/>
        </w:rPr>
        <w:t>The health of Australia’s females - Web report</w:t>
      </w:r>
      <w:r w:rsidRPr="002016B0">
        <w:rPr>
          <w:rFonts w:ascii="Aptos" w:hAnsi="Aptos"/>
          <w:sz w:val="22"/>
          <w:szCs w:val="22"/>
        </w:rPr>
        <w:t xml:space="preserve">. </w:t>
      </w:r>
      <w:hyperlink r:id="rId19" w:history="1">
        <w:r w:rsidRPr="002016B0">
          <w:rPr>
            <w:rStyle w:val="Hyperlink"/>
            <w:rFonts w:ascii="Aptos" w:hAnsi="Aptos"/>
            <w:sz w:val="22"/>
            <w:szCs w:val="22"/>
          </w:rPr>
          <w:t>https://www.aihw.gov.au/getmedia/1977b98f-ac4e-4097-9393-33fd89ef104e/the-health-of-australia-s-females.pdf</w:t>
        </w:r>
      </w:hyperlink>
      <w:r w:rsidRPr="002016B0">
        <w:rPr>
          <w:rFonts w:ascii="Aptos" w:hAnsi="Aptos"/>
          <w:sz w:val="22"/>
          <w:szCs w:val="22"/>
        </w:rPr>
        <w:t xml:space="preserve"> </w:t>
      </w:r>
    </w:p>
    <w:p w14:paraId="41BAF8AA" w14:textId="77777777" w:rsidR="002016B0" w:rsidRPr="002016B0" w:rsidRDefault="002016B0" w:rsidP="002016B0">
      <w:pPr>
        <w:rPr>
          <w:rFonts w:ascii="Aptos" w:hAnsi="Aptos" w:cs="Calibri"/>
          <w:sz w:val="22"/>
          <w:szCs w:val="22"/>
        </w:rPr>
      </w:pPr>
      <w:r w:rsidRPr="002016B0">
        <w:rPr>
          <w:rFonts w:ascii="Aptos" w:hAnsi="Aptos"/>
          <w:sz w:val="22"/>
          <w:szCs w:val="22"/>
        </w:rPr>
        <w:t xml:space="preserve">Australian Institute of Health and Welfare. (2023). </w:t>
      </w:r>
      <w:r w:rsidRPr="002016B0">
        <w:rPr>
          <w:rFonts w:ascii="Aptos" w:hAnsi="Aptos"/>
          <w:i/>
          <w:iCs/>
          <w:sz w:val="22"/>
          <w:szCs w:val="22"/>
        </w:rPr>
        <w:t>Australian Burden of Disease Study 2023 – Web report.</w:t>
      </w:r>
      <w:r w:rsidRPr="002016B0">
        <w:rPr>
          <w:rFonts w:ascii="Aptos" w:hAnsi="Aptos"/>
          <w:sz w:val="22"/>
          <w:szCs w:val="22"/>
        </w:rPr>
        <w:t xml:space="preserve"> </w:t>
      </w:r>
      <w:hyperlink r:id="rId20" w:history="1">
        <w:r w:rsidRPr="002016B0">
          <w:rPr>
            <w:rStyle w:val="Hyperlink"/>
            <w:rFonts w:ascii="Aptos" w:hAnsi="Aptos" w:cs="Calibri"/>
            <w:sz w:val="22"/>
            <w:szCs w:val="22"/>
          </w:rPr>
          <w:t>https://www.aihw.gov.au/getmedia/61a653c5-d991-44fb-a334-4df7c453225f/australian-burden-of-disease-study-2023.pdf</w:t>
        </w:r>
      </w:hyperlink>
      <w:r w:rsidRPr="002016B0">
        <w:rPr>
          <w:rFonts w:ascii="Aptos" w:hAnsi="Aptos" w:cs="Calibri"/>
          <w:sz w:val="22"/>
          <w:szCs w:val="22"/>
        </w:rPr>
        <w:t xml:space="preserve"> </w:t>
      </w:r>
    </w:p>
    <w:p w14:paraId="3CE26767" w14:textId="77777777" w:rsidR="002016B0" w:rsidRPr="002016B0" w:rsidRDefault="002016B0" w:rsidP="002016B0">
      <w:pPr>
        <w:rPr>
          <w:rFonts w:ascii="Aptos" w:hAnsi="Aptos" w:cs="Calibri"/>
          <w:sz w:val="22"/>
          <w:szCs w:val="22"/>
        </w:rPr>
      </w:pPr>
      <w:r w:rsidRPr="002016B0">
        <w:rPr>
          <w:rFonts w:ascii="Aptos" w:hAnsi="Aptos" w:cs="Calibri"/>
          <w:sz w:val="22"/>
          <w:szCs w:val="22"/>
        </w:rPr>
        <w:t xml:space="preserve">Australia’s National Research Organisation for Women’s Safety (ANROWS). (2020). </w:t>
      </w:r>
      <w:r w:rsidRPr="002A7BDB">
        <w:rPr>
          <w:rFonts w:ascii="Aptos" w:hAnsi="Aptos" w:cs="Calibri"/>
          <w:i/>
          <w:iCs/>
          <w:sz w:val="22"/>
          <w:szCs w:val="22"/>
        </w:rPr>
        <w:t>Violence against women and mental health</w:t>
      </w:r>
      <w:r w:rsidRPr="002016B0">
        <w:rPr>
          <w:rFonts w:ascii="Aptos" w:hAnsi="Aptos" w:cs="Calibri"/>
          <w:sz w:val="22"/>
          <w:szCs w:val="22"/>
        </w:rPr>
        <w:t xml:space="preserve"> (ANROWS Insights, 04/2020). ANROWS. </w:t>
      </w:r>
      <w:hyperlink r:id="rId21" w:history="1">
        <w:r w:rsidRPr="002016B0">
          <w:rPr>
            <w:rStyle w:val="Hyperlink"/>
            <w:rFonts w:ascii="Aptos" w:hAnsi="Aptos" w:cs="Calibri"/>
            <w:sz w:val="22"/>
            <w:szCs w:val="22"/>
          </w:rPr>
          <w:t>https://anrows-2019.s3.ap-southeast-2.amazonaws.com/wp-content/uploads/2020/07/23094405/VAW-MH-Synthesis-ANROWS-Insights.pdf</w:t>
        </w:r>
      </w:hyperlink>
    </w:p>
    <w:p w14:paraId="54A5A57F" w14:textId="77777777" w:rsidR="002016B0" w:rsidRPr="002016B0" w:rsidRDefault="002016B0" w:rsidP="002016B0">
      <w:pPr>
        <w:rPr>
          <w:rFonts w:ascii="Aptos" w:hAnsi="Aptos" w:cs="Calibri"/>
          <w:sz w:val="22"/>
          <w:szCs w:val="22"/>
        </w:rPr>
      </w:pPr>
      <w:r w:rsidRPr="002016B0">
        <w:rPr>
          <w:rFonts w:ascii="Aptos" w:hAnsi="Aptos" w:cs="Calibri"/>
          <w:sz w:val="22"/>
          <w:szCs w:val="22"/>
        </w:rPr>
        <w:t xml:space="preserve">Lum On, M., Ayre, J., Webster, K, Moon, L. (2016). </w:t>
      </w:r>
      <w:r w:rsidRPr="002A7BDB">
        <w:rPr>
          <w:rFonts w:ascii="Aptos" w:hAnsi="Aptos" w:cs="Calibri"/>
          <w:i/>
          <w:iCs/>
          <w:sz w:val="22"/>
          <w:szCs w:val="22"/>
        </w:rPr>
        <w:t>Examination of the health outcomes of intimate partner violence against women: State of knowledge paper</w:t>
      </w:r>
      <w:r w:rsidRPr="002016B0">
        <w:rPr>
          <w:rFonts w:ascii="Aptos" w:hAnsi="Aptos" w:cs="Calibri"/>
          <w:sz w:val="22"/>
          <w:szCs w:val="22"/>
        </w:rPr>
        <w:t xml:space="preserve">. Australia’s National Research Organisation for Women’s Safety (ANROWS). </w:t>
      </w:r>
      <w:hyperlink r:id="rId22" w:history="1">
        <w:r w:rsidRPr="002016B0">
          <w:rPr>
            <w:rStyle w:val="Hyperlink"/>
            <w:rFonts w:ascii="Aptos" w:hAnsi="Aptos" w:cs="Calibri"/>
            <w:sz w:val="22"/>
            <w:szCs w:val="22"/>
          </w:rPr>
          <w:t>https://anrows-2019.s3.ap-southeast-2.amazonaws.com/wp-content/uploads/2019/02/19024846/160324_1.7-Burden-of-Disease-FINAL_0.pdf</w:t>
        </w:r>
      </w:hyperlink>
      <w:r w:rsidRPr="002016B0">
        <w:rPr>
          <w:rFonts w:ascii="Aptos" w:hAnsi="Aptos" w:cs="Calibri"/>
          <w:sz w:val="22"/>
          <w:szCs w:val="22"/>
        </w:rPr>
        <w:t xml:space="preserve"> </w:t>
      </w:r>
    </w:p>
    <w:p w14:paraId="71CAD31F" w14:textId="77777777" w:rsidR="00406530" w:rsidRPr="006F5633" w:rsidRDefault="00406530" w:rsidP="006F5633">
      <w:pPr>
        <w:rPr>
          <w:rFonts w:ascii="Aptos" w:hAnsi="Aptos" w:cs="Calibri"/>
          <w:sz w:val="22"/>
          <w:szCs w:val="22"/>
        </w:rPr>
        <w:sectPr w:rsidR="00406530" w:rsidRPr="006F5633" w:rsidSect="00C823AF">
          <w:headerReference w:type="even" r:id="rId23"/>
          <w:headerReference w:type="default" r:id="rId24"/>
          <w:headerReference w:type="first" r:id="rId25"/>
          <w:pgSz w:w="11906" w:h="16838"/>
          <w:pgMar w:top="1440" w:right="1440" w:bottom="1440" w:left="1440" w:header="708" w:footer="708" w:gutter="0"/>
          <w:cols w:space="708"/>
          <w:titlePg/>
          <w:docGrid w:linePitch="360"/>
        </w:sectPr>
      </w:pPr>
    </w:p>
    <w:p w14:paraId="0D12523D" w14:textId="77777777" w:rsidR="006F5633" w:rsidRPr="002016B0" w:rsidRDefault="006F5633" w:rsidP="006F5633">
      <w:pPr>
        <w:rPr>
          <w:rFonts w:ascii="Aptos" w:hAnsi="Aptos" w:cs="Calibri"/>
          <w:sz w:val="22"/>
          <w:szCs w:val="22"/>
        </w:rPr>
      </w:pPr>
      <w:r w:rsidRPr="002016B0">
        <w:rPr>
          <w:rFonts w:ascii="Aptos" w:hAnsi="Aptos" w:cs="Calibri"/>
          <w:sz w:val="22"/>
          <w:szCs w:val="22"/>
        </w:rPr>
        <w:lastRenderedPageBreak/>
        <w:t>Mental Health First Aid Australia. (2023).</w:t>
      </w:r>
      <w:r w:rsidRPr="002016B0">
        <w:rPr>
          <w:rFonts w:ascii="Aptos" w:hAnsi="Aptos"/>
          <w:sz w:val="22"/>
          <w:szCs w:val="22"/>
        </w:rPr>
        <w:t xml:space="preserve"> </w:t>
      </w:r>
      <w:r w:rsidRPr="002016B0">
        <w:rPr>
          <w:rFonts w:ascii="Aptos" w:hAnsi="Aptos" w:cs="Calibri"/>
          <w:sz w:val="22"/>
          <w:szCs w:val="22"/>
        </w:rPr>
        <w:t xml:space="preserve">Women and mental health across the lifespan. </w:t>
      </w:r>
      <w:hyperlink r:id="rId26" w:history="1">
        <w:r w:rsidRPr="002016B0">
          <w:rPr>
            <w:rStyle w:val="Hyperlink"/>
            <w:rFonts w:ascii="Aptos" w:hAnsi="Aptos" w:cs="Calibri"/>
            <w:sz w:val="22"/>
            <w:szCs w:val="22"/>
          </w:rPr>
          <w:t>https://www.mhfa.com.au/women-and-mental-health-across-the-lifespan/</w:t>
        </w:r>
      </w:hyperlink>
      <w:r w:rsidRPr="002016B0">
        <w:rPr>
          <w:rFonts w:ascii="Aptos" w:hAnsi="Aptos" w:cs="Calibri"/>
          <w:sz w:val="22"/>
          <w:szCs w:val="22"/>
        </w:rPr>
        <w:t xml:space="preserve"> </w:t>
      </w:r>
    </w:p>
    <w:p w14:paraId="12E998F3" w14:textId="77777777" w:rsidR="006F5633" w:rsidRPr="002016B0" w:rsidRDefault="006F5633" w:rsidP="006F5633">
      <w:pPr>
        <w:rPr>
          <w:rFonts w:ascii="Aptos" w:hAnsi="Aptos" w:cs="Calibri"/>
          <w:sz w:val="22"/>
          <w:szCs w:val="22"/>
        </w:rPr>
      </w:pPr>
      <w:r w:rsidRPr="002016B0">
        <w:rPr>
          <w:rFonts w:ascii="Aptos" w:hAnsi="Aptos" w:cs="Calibri"/>
          <w:sz w:val="22"/>
          <w:szCs w:val="22"/>
        </w:rPr>
        <w:t xml:space="preserve">National Mental Health Commission. (2022). Snapshot of women's mental health and wellbeing in Australia. </w:t>
      </w:r>
      <w:hyperlink r:id="rId27" w:history="1">
        <w:r w:rsidRPr="002016B0">
          <w:rPr>
            <w:rStyle w:val="Hyperlink"/>
            <w:rFonts w:ascii="Aptos" w:hAnsi="Aptos" w:cs="Calibri"/>
            <w:sz w:val="22"/>
            <w:szCs w:val="22"/>
          </w:rPr>
          <w:t>https://www.mentalhealthcommission.gov.au/news-media/news/international-womens-day-snapshot-womens-mental-health-and-wellbeing-australia</w:t>
        </w:r>
      </w:hyperlink>
      <w:r w:rsidRPr="002016B0">
        <w:rPr>
          <w:rFonts w:ascii="Aptos" w:hAnsi="Aptos" w:cs="Calibri"/>
          <w:sz w:val="22"/>
          <w:szCs w:val="22"/>
        </w:rPr>
        <w:t xml:space="preserve"> </w:t>
      </w:r>
    </w:p>
    <w:p w14:paraId="269D4AE4" w14:textId="77777777" w:rsidR="006F5633" w:rsidRPr="002016B0" w:rsidRDefault="006F5633" w:rsidP="006F5633">
      <w:pPr>
        <w:rPr>
          <w:rFonts w:ascii="Aptos" w:hAnsi="Aptos" w:cs="Calibri"/>
          <w:sz w:val="22"/>
          <w:szCs w:val="22"/>
        </w:rPr>
      </w:pPr>
      <w:r w:rsidRPr="002016B0">
        <w:rPr>
          <w:rFonts w:ascii="Aptos" w:hAnsi="Aptos" w:cs="Calibri"/>
          <w:sz w:val="22"/>
          <w:szCs w:val="22"/>
        </w:rPr>
        <w:t xml:space="preserve">Saxby, K., Hutchinson Tovar, S., Bishop, G.M., Down, I., Spencer, R., Petrie, D., and Aitken, Z. (2025). ‘Gender identity and mental health inequalities 2001–2022: population-level evidence from an Australian cohort study’, </w:t>
      </w:r>
      <w:r w:rsidRPr="002016B0">
        <w:rPr>
          <w:rFonts w:ascii="Aptos" w:hAnsi="Aptos" w:cs="Calibri"/>
          <w:i/>
          <w:iCs/>
          <w:sz w:val="22"/>
          <w:szCs w:val="22"/>
        </w:rPr>
        <w:t>BMJ Mental Health</w:t>
      </w:r>
      <w:r w:rsidRPr="002016B0">
        <w:rPr>
          <w:rFonts w:ascii="Aptos" w:hAnsi="Aptos" w:cs="Calibri"/>
          <w:sz w:val="22"/>
          <w:szCs w:val="22"/>
        </w:rPr>
        <w:t xml:space="preserve">, vol. 28, pp. 1–7.   </w:t>
      </w:r>
      <w:hyperlink r:id="rId28" w:history="1">
        <w:r w:rsidRPr="002016B0">
          <w:rPr>
            <w:rStyle w:val="Hyperlink"/>
            <w:rFonts w:ascii="Aptos" w:hAnsi="Aptos" w:cs="Calibri"/>
            <w:sz w:val="22"/>
            <w:szCs w:val="22"/>
          </w:rPr>
          <w:t>https://mentalhealth.bmj.com/content/ebmental/28/1/e301277.full.pdf</w:t>
        </w:r>
      </w:hyperlink>
      <w:r w:rsidRPr="002016B0">
        <w:rPr>
          <w:rFonts w:ascii="Aptos" w:hAnsi="Aptos" w:cs="Calibri"/>
          <w:sz w:val="22"/>
          <w:szCs w:val="22"/>
        </w:rPr>
        <w:t xml:space="preserve"> </w:t>
      </w:r>
    </w:p>
    <w:p w14:paraId="7B4ED189" w14:textId="77777777" w:rsidR="006F5633" w:rsidRPr="002016B0" w:rsidRDefault="006F5633" w:rsidP="006F5633">
      <w:pPr>
        <w:rPr>
          <w:rFonts w:ascii="Aptos" w:hAnsi="Aptos" w:cs="Calibri"/>
          <w:sz w:val="22"/>
          <w:szCs w:val="22"/>
        </w:rPr>
      </w:pPr>
      <w:proofErr w:type="spellStart"/>
      <w:r w:rsidRPr="002016B0">
        <w:rPr>
          <w:rFonts w:ascii="Aptos" w:hAnsi="Aptos" w:cs="Calibri"/>
          <w:sz w:val="22"/>
          <w:szCs w:val="22"/>
        </w:rPr>
        <w:t>Terhaag</w:t>
      </w:r>
      <w:proofErr w:type="spellEnd"/>
      <w:r w:rsidRPr="002016B0">
        <w:rPr>
          <w:rFonts w:ascii="Aptos" w:hAnsi="Aptos" w:cs="Calibri"/>
          <w:sz w:val="22"/>
          <w:szCs w:val="22"/>
        </w:rPr>
        <w:t xml:space="preserve">, S., Quinn, B., Swami, N., </w:t>
      </w:r>
      <w:proofErr w:type="spellStart"/>
      <w:r w:rsidRPr="002016B0">
        <w:rPr>
          <w:rFonts w:ascii="Aptos" w:hAnsi="Aptos" w:cs="Calibri"/>
          <w:sz w:val="22"/>
          <w:szCs w:val="22"/>
        </w:rPr>
        <w:t>Daraganova</w:t>
      </w:r>
      <w:proofErr w:type="spellEnd"/>
      <w:r w:rsidRPr="002016B0">
        <w:rPr>
          <w:rFonts w:ascii="Aptos" w:hAnsi="Aptos" w:cs="Calibri"/>
          <w:sz w:val="22"/>
          <w:szCs w:val="22"/>
        </w:rPr>
        <w:t xml:space="preserve">, G. (2020). </w:t>
      </w:r>
      <w:r w:rsidRPr="002016B0">
        <w:rPr>
          <w:rFonts w:ascii="Aptos" w:hAnsi="Aptos" w:cs="Calibri"/>
          <w:i/>
          <w:iCs/>
          <w:sz w:val="22"/>
          <w:szCs w:val="22"/>
        </w:rPr>
        <w:t xml:space="preserve">The Australian Longitudinal Study on Male Health - Chapter 1 - Mental health of Australian males: depression, suicidality and loneliness. </w:t>
      </w:r>
      <w:hyperlink r:id="rId29" w:history="1">
        <w:r w:rsidRPr="002016B0">
          <w:rPr>
            <w:rStyle w:val="Hyperlink"/>
            <w:rFonts w:ascii="Aptos" w:hAnsi="Aptos" w:cs="Calibri"/>
            <w:sz w:val="22"/>
            <w:szCs w:val="22"/>
          </w:rPr>
          <w:t>https://aifs.gov.au/sites/default/files/2022-10/2020_ttm_insights_report_chapter_1.pdf</w:t>
        </w:r>
      </w:hyperlink>
      <w:r w:rsidRPr="002016B0">
        <w:rPr>
          <w:rFonts w:ascii="Aptos" w:hAnsi="Aptos" w:cs="Calibri"/>
          <w:sz w:val="22"/>
          <w:szCs w:val="22"/>
        </w:rPr>
        <w:t xml:space="preserve">  </w:t>
      </w:r>
    </w:p>
    <w:p w14:paraId="19C96444" w14:textId="77777777" w:rsidR="006F5633" w:rsidRPr="002016B0" w:rsidRDefault="006F5633" w:rsidP="006F5633">
      <w:pPr>
        <w:rPr>
          <w:rFonts w:ascii="Aptos" w:hAnsi="Aptos" w:cs="Calibri"/>
          <w:sz w:val="22"/>
          <w:szCs w:val="22"/>
        </w:rPr>
      </w:pPr>
      <w:r w:rsidRPr="002016B0">
        <w:rPr>
          <w:rFonts w:ascii="Aptos" w:hAnsi="Aptos" w:cs="Calibri"/>
          <w:sz w:val="22"/>
          <w:szCs w:val="22"/>
        </w:rPr>
        <w:t xml:space="preserve">Townsend, N., Loxton, D., Egan, N., Barnes, I., Byrnes, E., &amp; Forder, P. (2022). </w:t>
      </w:r>
      <w:r w:rsidRPr="002A7BDB">
        <w:rPr>
          <w:rFonts w:ascii="Aptos" w:hAnsi="Aptos" w:cs="Calibri"/>
          <w:i/>
          <w:iCs/>
          <w:sz w:val="22"/>
          <w:szCs w:val="22"/>
        </w:rPr>
        <w:t>A life course approach to determining the prevalence and impact of sexual violence in Australia: Findings from the Australian Longitudinal Study on Women’s Health</w:t>
      </w:r>
      <w:r w:rsidRPr="002016B0">
        <w:rPr>
          <w:rFonts w:ascii="Aptos" w:hAnsi="Aptos" w:cs="Calibri"/>
          <w:sz w:val="22"/>
          <w:szCs w:val="22"/>
        </w:rPr>
        <w:t xml:space="preserve"> (Research report, 14/2022). ANROWS. </w:t>
      </w:r>
      <w:hyperlink r:id="rId30" w:history="1">
        <w:r w:rsidRPr="002016B0">
          <w:rPr>
            <w:rStyle w:val="Hyperlink"/>
            <w:rFonts w:ascii="Aptos" w:hAnsi="Aptos" w:cs="Calibri"/>
            <w:sz w:val="22"/>
            <w:szCs w:val="22"/>
          </w:rPr>
          <w:t>https://alswh.org.au/wp-content/uploads/2022/09/ANROWS-Report-Life-course-approach-to-sexual-violence-prevalence-and-impact.pdf</w:t>
        </w:r>
      </w:hyperlink>
      <w:r w:rsidRPr="002016B0">
        <w:rPr>
          <w:rFonts w:ascii="Aptos" w:hAnsi="Aptos" w:cs="Calibri"/>
          <w:sz w:val="22"/>
          <w:szCs w:val="22"/>
        </w:rPr>
        <w:t xml:space="preserve"> </w:t>
      </w:r>
    </w:p>
    <w:p w14:paraId="5E1842F8" w14:textId="77777777" w:rsidR="006F5633" w:rsidRPr="002016B0" w:rsidRDefault="006F5633" w:rsidP="006F5633">
      <w:pPr>
        <w:rPr>
          <w:rFonts w:ascii="Aptos" w:hAnsi="Aptos" w:cs="Calibri"/>
          <w:sz w:val="22"/>
          <w:szCs w:val="22"/>
        </w:rPr>
      </w:pPr>
      <w:r w:rsidRPr="002016B0">
        <w:rPr>
          <w:rFonts w:ascii="Aptos" w:hAnsi="Aptos" w:cs="Calibri"/>
          <w:sz w:val="22"/>
          <w:szCs w:val="22"/>
        </w:rPr>
        <w:t xml:space="preserve">Webster, K. (2016). </w:t>
      </w:r>
      <w:r w:rsidRPr="002A7BDB">
        <w:rPr>
          <w:rFonts w:ascii="Aptos" w:hAnsi="Aptos" w:cs="Calibri"/>
          <w:i/>
          <w:iCs/>
          <w:sz w:val="22"/>
          <w:szCs w:val="22"/>
        </w:rPr>
        <w:t>A preventable burden: Measuring and addressing the prevalence and health impacts of intimate partner violence in Australian women</w:t>
      </w:r>
      <w:r w:rsidRPr="002016B0">
        <w:rPr>
          <w:rFonts w:ascii="Aptos" w:hAnsi="Aptos" w:cs="Calibri"/>
          <w:sz w:val="22"/>
          <w:szCs w:val="22"/>
        </w:rPr>
        <w:t xml:space="preserve"> (ANROWS Compass, 07/2016). ANROWS.</w:t>
      </w:r>
      <w:hyperlink r:id="rId31" w:history="1">
        <w:r w:rsidRPr="002016B0">
          <w:rPr>
            <w:rStyle w:val="Hyperlink"/>
            <w:rFonts w:ascii="Aptos" w:hAnsi="Aptos" w:cs="Calibri"/>
            <w:sz w:val="22"/>
            <w:szCs w:val="22"/>
          </w:rPr>
          <w:t>https://anrows-2019.s3.ap-southeast-2.amazonaws.com/wp-content/uploads/2019/01/19025309/28-10-16-BOD-Compass.pdf</w:t>
        </w:r>
      </w:hyperlink>
      <w:r w:rsidRPr="002016B0">
        <w:rPr>
          <w:rFonts w:ascii="Aptos" w:hAnsi="Aptos" w:cs="Calibri"/>
          <w:sz w:val="22"/>
          <w:szCs w:val="22"/>
        </w:rPr>
        <w:t xml:space="preserve"> </w:t>
      </w:r>
    </w:p>
    <w:p w14:paraId="63CDFBC2" w14:textId="77777777" w:rsidR="00456CA1" w:rsidRPr="009559B2" w:rsidRDefault="006F5633" w:rsidP="006F5633">
      <w:pPr>
        <w:jc w:val="both"/>
        <w:rPr>
          <w:rFonts w:cs="Calibri"/>
          <w:b/>
          <w:bCs/>
          <w:color w:val="000000" w:themeColor="text1"/>
          <w:sz w:val="22"/>
          <w:szCs w:val="22"/>
        </w:rPr>
      </w:pPr>
      <w:r w:rsidRPr="002016B0">
        <w:rPr>
          <w:rFonts w:ascii="Aptos" w:hAnsi="Aptos" w:cs="Calibri"/>
          <w:sz w:val="22"/>
          <w:szCs w:val="22"/>
        </w:rPr>
        <w:t xml:space="preserve">Women’s Health Matters. (2023). </w:t>
      </w:r>
      <w:r w:rsidRPr="002016B0">
        <w:rPr>
          <w:rFonts w:ascii="Aptos" w:hAnsi="Aptos" w:cs="Calibri"/>
          <w:i/>
          <w:iCs/>
          <w:sz w:val="22"/>
          <w:szCs w:val="22"/>
        </w:rPr>
        <w:t>Report on the Survey of Women’s Health in the ACT.</w:t>
      </w:r>
      <w:r w:rsidRPr="002016B0">
        <w:rPr>
          <w:rFonts w:ascii="Aptos" w:hAnsi="Aptos" w:cs="Calibri"/>
          <w:sz w:val="22"/>
          <w:szCs w:val="22"/>
        </w:rPr>
        <w:t xml:space="preserve"> </w:t>
      </w:r>
      <w:hyperlink r:id="rId32" w:history="1">
        <w:r w:rsidRPr="002016B0">
          <w:rPr>
            <w:rStyle w:val="Hyperlink"/>
            <w:rFonts w:ascii="Aptos" w:hAnsi="Aptos" w:cs="Calibri"/>
            <w:sz w:val="22"/>
            <w:szCs w:val="22"/>
          </w:rPr>
          <w:t>https://www.womenshealthmatters.org.au/wp-content/uploads/2023/07/Report-on-ACT-Survey-of-Womens-Health.pdf</w:t>
        </w:r>
      </w:hyperlink>
    </w:p>
    <w:p w14:paraId="70402F3E" w14:textId="77777777" w:rsidR="00456CA1" w:rsidRPr="009559B2" w:rsidRDefault="00456CA1" w:rsidP="00456CA1">
      <w:pPr>
        <w:jc w:val="both"/>
        <w:rPr>
          <w:rFonts w:cs="Calibri"/>
          <w:color w:val="000000" w:themeColor="text1"/>
          <w:sz w:val="22"/>
          <w:szCs w:val="22"/>
        </w:rPr>
      </w:pPr>
    </w:p>
    <w:p w14:paraId="696161B2" w14:textId="77777777" w:rsidR="001D5EC2" w:rsidRPr="009559B2" w:rsidRDefault="001D5EC2" w:rsidP="00456CA1">
      <w:pPr>
        <w:rPr>
          <w:rFonts w:cs="Calibri"/>
          <w:sz w:val="22"/>
          <w:szCs w:val="22"/>
        </w:rPr>
      </w:pPr>
    </w:p>
    <w:sectPr w:rsidR="001D5EC2" w:rsidRPr="009559B2" w:rsidSect="00C823AF">
      <w:headerReference w:type="first" r:id="rId33"/>
      <w:footerReference w:type="first" r:id="rId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FA8A5" w14:textId="77777777" w:rsidR="00A54177" w:rsidRDefault="00A54177" w:rsidP="002101CF">
      <w:pPr>
        <w:spacing w:after="0" w:line="240" w:lineRule="auto"/>
      </w:pPr>
      <w:r>
        <w:separator/>
      </w:r>
    </w:p>
  </w:endnote>
  <w:endnote w:type="continuationSeparator" w:id="0">
    <w:p w14:paraId="1A0210F1" w14:textId="77777777" w:rsidR="00A54177" w:rsidRDefault="00A54177" w:rsidP="002101CF">
      <w:pPr>
        <w:spacing w:after="0" w:line="240" w:lineRule="auto"/>
      </w:pPr>
      <w:r>
        <w:continuationSeparator/>
      </w:r>
    </w:p>
  </w:endnote>
  <w:endnote w:type="continuationNotice" w:id="1">
    <w:p w14:paraId="1D46CF52" w14:textId="77777777" w:rsidR="00A54177" w:rsidRDefault="00A541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40CD" w14:textId="77777777" w:rsidR="00B457EE" w:rsidRPr="00C06A25" w:rsidRDefault="00FA71D7" w:rsidP="54D779CF">
    <w:r w:rsidRPr="00EF39F3">
      <w:rPr>
        <w:noProof/>
      </w:rPr>
      <w:drawing>
        <wp:inline distT="0" distB="0" distL="0" distR="0" wp14:anchorId="4FDFF666" wp14:editId="5DFC8FA7">
          <wp:extent cx="4857750" cy="771525"/>
          <wp:effectExtent l="0" t="0" r="0" b="0"/>
          <wp:docPr id="4" name="Picture 1291381647" descr="A close-up of a website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381647" descr="A close-up of a website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t="4868" b="13203"/>
                  <a:stretch>
                    <a:fillRect/>
                  </a:stretch>
                </pic:blipFill>
                <pic:spPr bwMode="auto">
                  <a:xfrm>
                    <a:off x="0" y="0"/>
                    <a:ext cx="4857750" cy="7715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2C5CA" w14:textId="77777777" w:rsidR="00A54177" w:rsidRDefault="00A54177" w:rsidP="002101CF">
      <w:pPr>
        <w:spacing w:after="0" w:line="240" w:lineRule="auto"/>
      </w:pPr>
      <w:r>
        <w:separator/>
      </w:r>
    </w:p>
  </w:footnote>
  <w:footnote w:type="continuationSeparator" w:id="0">
    <w:p w14:paraId="718B314F" w14:textId="77777777" w:rsidR="00A54177" w:rsidRDefault="00A54177" w:rsidP="002101CF">
      <w:pPr>
        <w:spacing w:after="0" w:line="240" w:lineRule="auto"/>
      </w:pPr>
      <w:r>
        <w:continuationSeparator/>
      </w:r>
    </w:p>
  </w:footnote>
  <w:footnote w:type="continuationNotice" w:id="1">
    <w:p w14:paraId="171738A4" w14:textId="77777777" w:rsidR="00A54177" w:rsidRDefault="00A54177">
      <w:pPr>
        <w:spacing w:after="0" w:line="240" w:lineRule="auto"/>
      </w:pPr>
    </w:p>
  </w:footnote>
  <w:footnote w:id="2">
    <w:p w14:paraId="3D1FE963" w14:textId="77777777" w:rsidR="00000000" w:rsidRDefault="00DC31FF">
      <w:pPr>
        <w:pStyle w:val="FootnoteText"/>
      </w:pPr>
      <w:r>
        <w:rPr>
          <w:rStyle w:val="FootnoteReference"/>
        </w:rPr>
        <w:footnoteRef/>
      </w:r>
      <w:r>
        <w:t xml:space="preserve"> </w:t>
      </w:r>
      <w:r w:rsidR="0047749D" w:rsidRPr="0047749D">
        <w:rPr>
          <w:lang w:val="en-AU"/>
        </w:rPr>
        <w:t xml:space="preserve">ACT Government. (2025). Draft Mental Health Commissioning Strategic Investment Plan (SIP). </w:t>
      </w:r>
      <w:hyperlink r:id="rId1" w:history="1">
        <w:r w:rsidR="0047749D" w:rsidRPr="0047749D">
          <w:rPr>
            <w:rStyle w:val="Hyperlink"/>
            <w:lang w:val="en-AU"/>
          </w:rPr>
          <w:t>https://www.communityservices.act.gov.au/__data/assets/pdf_file/0004/2838001/Mental-Health-Commissioning-Strategic-Investment-Plan-Draft.pdf</w:t>
        </w:r>
      </w:hyperlink>
      <w:r w:rsidR="0047749D">
        <w:t>, p. 19.</w:t>
      </w:r>
    </w:p>
  </w:footnote>
  <w:footnote w:id="3">
    <w:p w14:paraId="0C494E24" w14:textId="77777777" w:rsidR="00000000" w:rsidRDefault="00EC43DE">
      <w:pPr>
        <w:pStyle w:val="FootnoteText"/>
      </w:pPr>
      <w:r>
        <w:rPr>
          <w:rStyle w:val="FootnoteReference"/>
        </w:rPr>
        <w:footnoteRef/>
      </w:r>
      <w:r>
        <w:t xml:space="preserve"> </w:t>
      </w:r>
      <w:r w:rsidR="007A580D" w:rsidRPr="007A580D">
        <w:rPr>
          <w:lang w:val="en-AU"/>
        </w:rPr>
        <w:t xml:space="preserve">Australian Government. (2018). </w:t>
      </w:r>
      <w:r w:rsidR="007A580D" w:rsidRPr="007A580D">
        <w:rPr>
          <w:i/>
          <w:iCs/>
          <w:lang w:val="en-AU"/>
        </w:rPr>
        <w:t>National Women’s Health Strategy 2020-2030</w:t>
      </w:r>
      <w:r w:rsidR="007A580D" w:rsidRPr="007A580D">
        <w:rPr>
          <w:lang w:val="en-AU"/>
        </w:rPr>
        <w:t xml:space="preserve">. </w:t>
      </w:r>
      <w:hyperlink r:id="rId2" w:history="1">
        <w:r w:rsidR="007A580D" w:rsidRPr="007A580D">
          <w:rPr>
            <w:rStyle w:val="Hyperlink"/>
            <w:lang w:val="en-AU"/>
          </w:rPr>
          <w:t>https://www.health.gov.au/sites/default/files/documents/2021/05/national-women-s-health-strategy-2020-2030_0.pdf</w:t>
        </w:r>
      </w:hyperlink>
      <w:r w:rsidR="009532CA">
        <w:t xml:space="preserve">, p. </w:t>
      </w:r>
      <w:r w:rsidR="00CD3D23">
        <w:t>35.</w:t>
      </w:r>
      <w:r w:rsidR="007A580D" w:rsidRPr="007A580D">
        <w:rPr>
          <w:lang w:val="en-AU"/>
        </w:rPr>
        <w:t xml:space="preserve"> </w:t>
      </w:r>
    </w:p>
  </w:footnote>
  <w:footnote w:id="4">
    <w:p w14:paraId="73476004" w14:textId="77777777" w:rsidR="00000000" w:rsidRDefault="00A55EFC">
      <w:pPr>
        <w:pStyle w:val="FootnoteText"/>
      </w:pPr>
      <w:r>
        <w:rPr>
          <w:rStyle w:val="FootnoteReference"/>
        </w:rPr>
        <w:footnoteRef/>
      </w:r>
      <w:r>
        <w:t xml:space="preserve"> </w:t>
      </w:r>
      <w:r w:rsidRPr="00A55EFC">
        <w:t xml:space="preserve">In the </w:t>
      </w:r>
      <w:r w:rsidRPr="00FD7334">
        <w:rPr>
          <w:i/>
          <w:iCs/>
        </w:rPr>
        <w:t>National Women’s Health Strategy</w:t>
      </w:r>
      <w:r w:rsidR="00FD7334" w:rsidRPr="00FD7334">
        <w:rPr>
          <w:i/>
          <w:iCs/>
        </w:rPr>
        <w:t xml:space="preserve"> 2020-2030</w:t>
      </w:r>
      <w:r w:rsidRPr="00A55EFC">
        <w:t>, eight priority populations are listed: Pregnant women and their children; Women and girls from rural and remote areas; Aboriginal &amp; Torres Strait Islander women and girls; Women and girls from low socio-economic backgrounds and older women with low financial assets; Women and girls living with disability and carers; Culturally and linguistically diverse women and girls; Members of LGBTIQA+ communities; Women and girls who experience violence and/or abuse; Women and girls affected by the criminal justice system; and Women veterans of Australia’s armed services</w:t>
      </w:r>
      <w:r w:rsidR="00FD7334">
        <w:t>. See p.</w:t>
      </w:r>
      <w:r w:rsidR="00AE017F">
        <w:t xml:space="preserve"> 15.</w:t>
      </w:r>
      <w:r w:rsidR="00FD7334">
        <w:t xml:space="preserve"> </w:t>
      </w:r>
    </w:p>
  </w:footnote>
  <w:footnote w:id="5">
    <w:p w14:paraId="143B685A" w14:textId="77777777" w:rsidR="00000000" w:rsidRDefault="00A55EFC">
      <w:pPr>
        <w:pStyle w:val="FootnoteText"/>
      </w:pPr>
      <w:r>
        <w:rPr>
          <w:rStyle w:val="FootnoteReference"/>
        </w:rPr>
        <w:footnoteRef/>
      </w:r>
      <w:r>
        <w:t xml:space="preserve"> </w:t>
      </w:r>
      <w:r w:rsidR="00BA737B" w:rsidRPr="00BA737B">
        <w:rPr>
          <w:lang w:val="en-AU"/>
        </w:rPr>
        <w:t xml:space="preserve">Australian Government and ACT Government. (2022). </w:t>
      </w:r>
      <w:r w:rsidR="00BA737B" w:rsidRPr="00BA737B">
        <w:rPr>
          <w:i/>
          <w:iCs/>
          <w:lang w:val="en-AU"/>
        </w:rPr>
        <w:t>National Mental Health and Suicide Prevention Agreement – Bilateral Schedule: Australian Capital Territory</w:t>
      </w:r>
      <w:r w:rsidR="00BA737B" w:rsidRPr="00BA737B">
        <w:rPr>
          <w:lang w:val="en-AU"/>
        </w:rPr>
        <w:t xml:space="preserve">. </w:t>
      </w:r>
      <w:hyperlink r:id="rId3" w:history="1">
        <w:r w:rsidR="00BA737B" w:rsidRPr="00BA737B">
          <w:rPr>
            <w:rStyle w:val="Hyperlink"/>
            <w:lang w:val="en-AU"/>
          </w:rPr>
          <w:t>https://federalfinancialrelations.gov.au/sites/federalfinancialrelations.gov.au/files/2022-04/nmh_sp_bilateral_agreement_act.pdf</w:t>
        </w:r>
      </w:hyperlink>
      <w:r w:rsidR="00BA737B">
        <w:t>, p.</w:t>
      </w:r>
      <w:r w:rsidR="00FD7334">
        <w:t xml:space="preserve"> 5.</w:t>
      </w:r>
      <w:r w:rsidR="00BA737B">
        <w:t xml:space="preserve"> </w:t>
      </w:r>
    </w:p>
  </w:footnote>
  <w:footnote w:id="6">
    <w:p w14:paraId="461EF194" w14:textId="77777777" w:rsidR="00000000" w:rsidRDefault="00B87A61">
      <w:pPr>
        <w:pStyle w:val="FootnoteText"/>
      </w:pPr>
      <w:r>
        <w:rPr>
          <w:rStyle w:val="FootnoteReference"/>
        </w:rPr>
        <w:footnoteRef/>
      </w:r>
      <w:r>
        <w:t xml:space="preserve"> </w:t>
      </w:r>
      <w:r w:rsidR="00062850" w:rsidRPr="00062850">
        <w:rPr>
          <w:lang w:val="en-AU"/>
        </w:rPr>
        <w:t xml:space="preserve">ACT Government. (2016). </w:t>
      </w:r>
      <w:r w:rsidR="00062850" w:rsidRPr="00062850">
        <w:rPr>
          <w:i/>
          <w:iCs/>
          <w:lang w:val="en-AU"/>
        </w:rPr>
        <w:t>ACT Women’s Plan 2016-2026</w:t>
      </w:r>
      <w:r w:rsidR="00062850" w:rsidRPr="00062850">
        <w:rPr>
          <w:lang w:val="en-AU"/>
        </w:rPr>
        <w:t xml:space="preserve">. </w:t>
      </w:r>
      <w:hyperlink r:id="rId4" w:history="1">
        <w:r w:rsidR="00062850" w:rsidRPr="00062850">
          <w:rPr>
            <w:rStyle w:val="Hyperlink"/>
            <w:lang w:val="en-AU"/>
          </w:rPr>
          <w:t>https://www.act.gov.au/__data/assets/pdf_file/0004/2380927/ACT-Womens-Plan-2012-2026.pdf</w:t>
        </w:r>
      </w:hyperlink>
      <w:r w:rsidR="00355C72">
        <w:t>, pp. 7,</w:t>
      </w:r>
      <w:r w:rsidR="005E3982">
        <w:t xml:space="preserve"> 11, 14. </w:t>
      </w:r>
    </w:p>
  </w:footnote>
  <w:footnote w:id="7">
    <w:p w14:paraId="2C268D0A" w14:textId="77777777" w:rsidR="00000000" w:rsidRDefault="00456CA1" w:rsidP="00C1693E">
      <w:pPr>
        <w:pStyle w:val="FootnoteText"/>
      </w:pPr>
      <w:r>
        <w:rPr>
          <w:rStyle w:val="FootnoteReference"/>
        </w:rPr>
        <w:footnoteRef/>
      </w:r>
      <w:r>
        <w:t xml:space="preserve"> </w:t>
      </w:r>
      <w:r w:rsidR="00E447C0">
        <w:t xml:space="preserve">Australian Institute of Health and Welfare. (2023). </w:t>
      </w:r>
      <w:r w:rsidR="00C1693E" w:rsidRPr="00E447C0">
        <w:rPr>
          <w:i/>
          <w:iCs/>
        </w:rPr>
        <w:t>The health of Australia’s females</w:t>
      </w:r>
      <w:r w:rsidR="00E447C0" w:rsidRPr="00E447C0">
        <w:rPr>
          <w:i/>
          <w:iCs/>
        </w:rPr>
        <w:t xml:space="preserve"> - </w:t>
      </w:r>
      <w:r w:rsidR="00C1693E" w:rsidRPr="00E447C0">
        <w:rPr>
          <w:i/>
          <w:iCs/>
        </w:rPr>
        <w:t>Web report</w:t>
      </w:r>
      <w:r w:rsidR="00E447C0">
        <w:t>.</w:t>
      </w:r>
      <w:r w:rsidR="00C1693E">
        <w:t xml:space="preserve"> </w:t>
      </w:r>
      <w:hyperlink r:id="rId5" w:history="1">
        <w:r w:rsidR="008B45E3" w:rsidRPr="008B45E3">
          <w:rPr>
            <w:rStyle w:val="Hyperlink"/>
            <w:lang w:val="en-AU"/>
          </w:rPr>
          <w:t>https://www.aihw.gov.au/getmedia/1977b98f-ac4e-4097-9393-33fd89ef104e/the-health-of-australia-s-females.pdf</w:t>
        </w:r>
      </w:hyperlink>
    </w:p>
  </w:footnote>
  <w:footnote w:id="8">
    <w:p w14:paraId="5DFD7D0A" w14:textId="77777777" w:rsidR="00000000" w:rsidRDefault="00A97FF0">
      <w:pPr>
        <w:pStyle w:val="FootnoteText"/>
      </w:pPr>
      <w:r>
        <w:rPr>
          <w:rStyle w:val="FootnoteReference"/>
        </w:rPr>
        <w:footnoteRef/>
      </w:r>
      <w:r>
        <w:t xml:space="preserve"> </w:t>
      </w:r>
      <w:r w:rsidRPr="00A97FF0">
        <w:rPr>
          <w:lang w:val="en-AU"/>
        </w:rPr>
        <w:t xml:space="preserve">ACT Government. (2022). </w:t>
      </w:r>
      <w:r w:rsidRPr="00A97FF0">
        <w:rPr>
          <w:i/>
          <w:iCs/>
          <w:lang w:val="en-AU"/>
        </w:rPr>
        <w:t>2022 ACT General Health Survey Statistical Report.</w:t>
      </w:r>
      <w:r w:rsidRPr="00A97FF0">
        <w:rPr>
          <w:lang w:val="en-AU"/>
        </w:rPr>
        <w:t xml:space="preserve"> </w:t>
      </w:r>
      <w:hyperlink r:id="rId6" w:history="1">
        <w:r w:rsidRPr="00A97FF0">
          <w:rPr>
            <w:rStyle w:val="Hyperlink"/>
            <w:lang w:val="en-AU"/>
          </w:rPr>
          <w:t>https://www.act.gov.au/directorates-and-agencies/act-health/data-statistics-and-surveys/healthstats-act/epidemiology-publications/2022-act-general-health-survey-statistical-report</w:t>
        </w:r>
      </w:hyperlink>
    </w:p>
  </w:footnote>
  <w:footnote w:id="9">
    <w:p w14:paraId="60B2E29D" w14:textId="77777777" w:rsidR="00000000" w:rsidRDefault="00456CA1" w:rsidP="00456CA1">
      <w:pPr>
        <w:pStyle w:val="FootnoteText"/>
      </w:pPr>
      <w:r>
        <w:rPr>
          <w:rStyle w:val="FootnoteReference"/>
        </w:rPr>
        <w:footnoteRef/>
      </w:r>
      <w:r>
        <w:t xml:space="preserve"> </w:t>
      </w:r>
      <w:r w:rsidR="00990610" w:rsidRPr="00990610">
        <w:rPr>
          <w:lang w:val="en-AU"/>
        </w:rPr>
        <w:t xml:space="preserve">ACT Government (2023). </w:t>
      </w:r>
      <w:r w:rsidR="00990610" w:rsidRPr="00990610">
        <w:rPr>
          <w:i/>
          <w:iCs/>
          <w:lang w:val="en-AU"/>
        </w:rPr>
        <w:t>Wellbeing Data Dashboard: Access to Health Services.</w:t>
      </w:r>
      <w:r w:rsidR="00990610" w:rsidRPr="00990610">
        <w:rPr>
          <w:lang w:val="en-AU"/>
        </w:rPr>
        <w:t xml:space="preserve"> </w:t>
      </w:r>
      <w:hyperlink r:id="rId7" w:history="1">
        <w:r w:rsidR="00990610" w:rsidRPr="00990610">
          <w:rPr>
            <w:rStyle w:val="Hyperlink"/>
            <w:lang w:val="en-AU"/>
          </w:rPr>
          <w:t>https://www.act.gov.au/wellbeing/explore-overall-wellbeing/health/access-to-health-services</w:t>
        </w:r>
      </w:hyperlink>
      <w:r w:rsidR="00990610" w:rsidRPr="00990610">
        <w:rPr>
          <w:lang w:val="en-AU"/>
        </w:rPr>
        <w:t xml:space="preserve"> </w:t>
      </w:r>
    </w:p>
  </w:footnote>
  <w:footnote w:id="10">
    <w:p w14:paraId="49AC9626" w14:textId="77777777" w:rsidR="00000000" w:rsidRDefault="00FD595B">
      <w:pPr>
        <w:pStyle w:val="FootnoteText"/>
      </w:pPr>
      <w:r>
        <w:rPr>
          <w:rStyle w:val="FootnoteReference"/>
        </w:rPr>
        <w:footnoteRef/>
      </w:r>
      <w:r>
        <w:t xml:space="preserve"> </w:t>
      </w:r>
      <w:r w:rsidRPr="00FD595B">
        <w:rPr>
          <w:lang w:val="en-AU"/>
        </w:rPr>
        <w:t xml:space="preserve">Saxby, K., Hutchinson Tovar, S., Bishop, G.M., Down, I., Spencer, R., Petrie, D., and Aitken, Z. (2025). ‘Gender identity and mental health inequalities 2001–2022: population-level evidence from an Australian cohort study’, </w:t>
      </w:r>
      <w:r w:rsidRPr="00FD595B">
        <w:rPr>
          <w:i/>
          <w:iCs/>
          <w:lang w:val="en-AU"/>
        </w:rPr>
        <w:t>BMJ Mental Health</w:t>
      </w:r>
      <w:r w:rsidRPr="00FD595B">
        <w:rPr>
          <w:lang w:val="en-AU"/>
        </w:rPr>
        <w:t xml:space="preserve">, vol. 28, pp. 1–7.   </w:t>
      </w:r>
      <w:hyperlink r:id="rId8" w:history="1">
        <w:r w:rsidRPr="00FD595B">
          <w:rPr>
            <w:rStyle w:val="Hyperlink"/>
            <w:lang w:val="en-AU"/>
          </w:rPr>
          <w:t>https://mentalhealth.bmj.com/content/ebmental/28/1/e301277.full.pdf</w:t>
        </w:r>
      </w:hyperlink>
    </w:p>
  </w:footnote>
  <w:footnote w:id="11">
    <w:p w14:paraId="7D0905F8" w14:textId="77777777" w:rsidR="00000000" w:rsidRDefault="00E25695">
      <w:pPr>
        <w:pStyle w:val="FootnoteText"/>
      </w:pPr>
      <w:r>
        <w:rPr>
          <w:rStyle w:val="FootnoteReference"/>
        </w:rPr>
        <w:footnoteRef/>
      </w:r>
      <w:r>
        <w:t xml:space="preserve"> </w:t>
      </w:r>
      <w:r w:rsidR="008F3C59">
        <w:rPr>
          <w:lang w:val="en-AU"/>
        </w:rPr>
        <w:t>Saxby et al (2025), p.</w:t>
      </w:r>
      <w:r w:rsidR="00B63C8F">
        <w:rPr>
          <w:lang w:val="en-AU"/>
        </w:rPr>
        <w:t xml:space="preserve"> 6.</w:t>
      </w:r>
      <w:r w:rsidR="008F3C59">
        <w:rPr>
          <w:lang w:val="en-AU"/>
        </w:rPr>
        <w:t xml:space="preserve"> </w:t>
      </w:r>
    </w:p>
  </w:footnote>
  <w:footnote w:id="12">
    <w:p w14:paraId="5E36F6F3" w14:textId="77777777" w:rsidR="00000000" w:rsidRDefault="00AA052C">
      <w:pPr>
        <w:pStyle w:val="FootnoteText"/>
      </w:pPr>
      <w:r>
        <w:rPr>
          <w:rStyle w:val="FootnoteReference"/>
        </w:rPr>
        <w:footnoteRef/>
      </w:r>
      <w:r>
        <w:t xml:space="preserve"> </w:t>
      </w:r>
      <w:r w:rsidR="00B11452" w:rsidRPr="00B11452">
        <w:rPr>
          <w:lang w:val="en-AU"/>
        </w:rPr>
        <w:t xml:space="preserve">Australian Institute of Health and Welfare. (2023). </w:t>
      </w:r>
      <w:r w:rsidR="00B11452" w:rsidRPr="00B11452">
        <w:rPr>
          <w:i/>
          <w:iCs/>
          <w:lang w:val="en-AU"/>
        </w:rPr>
        <w:t>Australian Burden of Disease Study 2023 – Web report.</w:t>
      </w:r>
      <w:r w:rsidR="00B11452" w:rsidRPr="00B11452">
        <w:rPr>
          <w:lang w:val="en-AU"/>
        </w:rPr>
        <w:t xml:space="preserve"> </w:t>
      </w:r>
      <w:hyperlink r:id="rId9" w:history="1">
        <w:r w:rsidR="00B11452" w:rsidRPr="00B11452">
          <w:rPr>
            <w:rStyle w:val="Hyperlink"/>
            <w:lang w:val="en-AU"/>
          </w:rPr>
          <w:t>https://www.aihw.gov.au/getmedia/61a653c5-d991-44fb-a334-4df7c453225f/australian-burden-of-disease-study-2023.pdf</w:t>
        </w:r>
      </w:hyperlink>
    </w:p>
  </w:footnote>
  <w:footnote w:id="13">
    <w:p w14:paraId="7DACABDB" w14:textId="77777777" w:rsidR="00000000" w:rsidRDefault="00341F80">
      <w:pPr>
        <w:pStyle w:val="FootnoteText"/>
      </w:pPr>
      <w:r>
        <w:rPr>
          <w:rStyle w:val="FootnoteReference"/>
        </w:rPr>
        <w:footnoteRef/>
      </w:r>
      <w:r>
        <w:t xml:space="preserve"> </w:t>
      </w:r>
      <w:r w:rsidRPr="00341F80">
        <w:t xml:space="preserve">Terhaag, S., Quinn, B., Swami, N., Daraganova, G. (2020). </w:t>
      </w:r>
      <w:r w:rsidRPr="00341F80">
        <w:rPr>
          <w:i/>
          <w:iCs/>
        </w:rPr>
        <w:t xml:space="preserve">The Australian Longitudinal Study on Male Health - Chapter 1 - Mental health of Australian males: depression, suicidality and loneliness. </w:t>
      </w:r>
      <w:hyperlink r:id="rId10" w:history="1">
        <w:r w:rsidRPr="00341F80">
          <w:rPr>
            <w:rStyle w:val="Hyperlink"/>
          </w:rPr>
          <w:t>https://aifs.gov.au/sites/default/files/2022-10/2020_ttm_insights_report_chapter_1.pdf</w:t>
        </w:r>
      </w:hyperlink>
      <w:r w:rsidRPr="00341F80">
        <w:t xml:space="preserve"> pp. 4–8. </w:t>
      </w:r>
    </w:p>
  </w:footnote>
  <w:footnote w:id="14">
    <w:p w14:paraId="6449D9C2" w14:textId="77777777" w:rsidR="00000000" w:rsidRDefault="00341F80">
      <w:pPr>
        <w:pStyle w:val="FootnoteText"/>
      </w:pPr>
      <w:r>
        <w:rPr>
          <w:rStyle w:val="FootnoteReference"/>
        </w:rPr>
        <w:footnoteRef/>
      </w:r>
      <w:r>
        <w:t xml:space="preserve"> </w:t>
      </w:r>
      <w:r>
        <w:rPr>
          <w:lang w:val="en-AU"/>
        </w:rPr>
        <w:t>Terhaag et al (2020), p</w:t>
      </w:r>
      <w:r w:rsidR="004C352F">
        <w:rPr>
          <w:lang w:val="en-AU"/>
        </w:rPr>
        <w:t>p</w:t>
      </w:r>
      <w:r>
        <w:rPr>
          <w:lang w:val="en-AU"/>
        </w:rPr>
        <w:t>.</w:t>
      </w:r>
      <w:r w:rsidR="004C352F">
        <w:rPr>
          <w:lang w:val="en-AU"/>
        </w:rPr>
        <w:t xml:space="preserve"> 21–23. </w:t>
      </w:r>
      <w:r>
        <w:rPr>
          <w:lang w:val="en-AU"/>
        </w:rPr>
        <w:t xml:space="preserve"> </w:t>
      </w:r>
    </w:p>
  </w:footnote>
  <w:footnote w:id="15">
    <w:p w14:paraId="0033C238" w14:textId="77777777" w:rsidR="00000000" w:rsidRDefault="00665B5A">
      <w:pPr>
        <w:pStyle w:val="FootnoteText"/>
      </w:pPr>
      <w:r>
        <w:rPr>
          <w:rStyle w:val="FootnoteReference"/>
        </w:rPr>
        <w:footnoteRef/>
      </w:r>
      <w:r>
        <w:t xml:space="preserve"> </w:t>
      </w:r>
      <w:r w:rsidRPr="00665B5A">
        <w:rPr>
          <w:i/>
          <w:iCs/>
          <w:lang w:val="en-AU"/>
        </w:rPr>
        <w:t>National Women’s Health Strategy 2020-2030</w:t>
      </w:r>
      <w:r w:rsidRPr="00665B5A">
        <w:rPr>
          <w:lang w:val="en-AU"/>
        </w:rPr>
        <w:t>,</w:t>
      </w:r>
      <w:r>
        <w:rPr>
          <w:lang w:val="en-AU"/>
        </w:rPr>
        <w:t xml:space="preserve"> p. </w:t>
      </w:r>
      <w:r w:rsidR="00FD133A">
        <w:rPr>
          <w:lang w:val="en-AU"/>
        </w:rPr>
        <w:t>35.</w:t>
      </w:r>
    </w:p>
  </w:footnote>
  <w:footnote w:id="16">
    <w:p w14:paraId="5CAE908B" w14:textId="77777777" w:rsidR="00000000" w:rsidRDefault="00A85821">
      <w:pPr>
        <w:pStyle w:val="FootnoteText"/>
      </w:pPr>
      <w:r>
        <w:rPr>
          <w:rStyle w:val="FootnoteReference"/>
        </w:rPr>
        <w:footnoteRef/>
      </w:r>
      <w:r>
        <w:t xml:space="preserve"> </w:t>
      </w:r>
      <w:r w:rsidRPr="00A85821">
        <w:t xml:space="preserve">Australian Institute of Health and Welfare. (2025). Prevalence and impact of mental illness. </w:t>
      </w:r>
      <w:hyperlink r:id="rId11" w:history="1">
        <w:r w:rsidRPr="00A85821">
          <w:rPr>
            <w:rStyle w:val="Hyperlink"/>
          </w:rPr>
          <w:t>https://www.aihw.gov.au/mental-health/overview/prevalence-and-impact-of-mental-illness</w:t>
        </w:r>
      </w:hyperlink>
      <w:r w:rsidRPr="00A85821">
        <w:t xml:space="preserve"> </w:t>
      </w:r>
    </w:p>
  </w:footnote>
  <w:footnote w:id="17">
    <w:p w14:paraId="2FEC192A" w14:textId="77777777" w:rsidR="00000000" w:rsidRDefault="00083398">
      <w:pPr>
        <w:pStyle w:val="FootnoteText"/>
      </w:pPr>
      <w:r>
        <w:rPr>
          <w:rStyle w:val="FootnoteReference"/>
        </w:rPr>
        <w:footnoteRef/>
      </w:r>
      <w:r>
        <w:t xml:space="preserve"> </w:t>
      </w:r>
      <w:r w:rsidR="00CE2A2F" w:rsidRPr="00CE2A2F">
        <w:rPr>
          <w:i/>
          <w:iCs/>
          <w:lang w:val="en-AU"/>
        </w:rPr>
        <w:t>National Women’s Health Strategy 2020-2030</w:t>
      </w:r>
      <w:r w:rsidR="00CE2A2F" w:rsidRPr="00CE2A2F">
        <w:rPr>
          <w:lang w:val="en-AU"/>
        </w:rPr>
        <w:t>,</w:t>
      </w:r>
      <w:r w:rsidR="00CE2A2F">
        <w:rPr>
          <w:lang w:val="en-AU"/>
        </w:rPr>
        <w:t xml:space="preserve"> p. 35.</w:t>
      </w:r>
    </w:p>
  </w:footnote>
  <w:footnote w:id="18">
    <w:p w14:paraId="0F8E1B01" w14:textId="77777777" w:rsidR="00000000" w:rsidRDefault="00236C05">
      <w:pPr>
        <w:pStyle w:val="FootnoteText"/>
      </w:pPr>
      <w:r>
        <w:rPr>
          <w:rStyle w:val="FootnoteReference"/>
        </w:rPr>
        <w:footnoteRef/>
      </w:r>
      <w:r>
        <w:t xml:space="preserve"> </w:t>
      </w:r>
      <w:r w:rsidR="00D71434" w:rsidRPr="00D71434">
        <w:t xml:space="preserve">National Mental Health Commission. (2022). Snapshot of women's mental health and wellbeing in Australia. </w:t>
      </w:r>
      <w:hyperlink r:id="rId12" w:history="1">
        <w:r w:rsidR="00D71434" w:rsidRPr="00082034">
          <w:rPr>
            <w:rStyle w:val="Hyperlink"/>
          </w:rPr>
          <w:t>https://www.mentalhealthcommission.gov.au/news-media/news/international-womens-day-snapshot-womens-mental-health-and-wellbeing-australia</w:t>
        </w:r>
      </w:hyperlink>
      <w:r w:rsidR="00D71434">
        <w:t xml:space="preserve"> </w:t>
      </w:r>
    </w:p>
  </w:footnote>
  <w:footnote w:id="19">
    <w:p w14:paraId="59AEB86C" w14:textId="77777777" w:rsidR="00000000" w:rsidRDefault="00D71434">
      <w:pPr>
        <w:pStyle w:val="FootnoteText"/>
      </w:pPr>
      <w:r>
        <w:rPr>
          <w:rStyle w:val="FootnoteReference"/>
        </w:rPr>
        <w:footnoteRef/>
      </w:r>
      <w:r>
        <w:t xml:space="preserve"> </w:t>
      </w:r>
      <w:r w:rsidRPr="00665B5A">
        <w:rPr>
          <w:i/>
          <w:iCs/>
          <w:lang w:val="en-AU"/>
        </w:rPr>
        <w:t>National Women’s Health Strategy 2020-2030</w:t>
      </w:r>
      <w:r w:rsidRPr="00665B5A">
        <w:rPr>
          <w:lang w:val="en-AU"/>
        </w:rPr>
        <w:t>,</w:t>
      </w:r>
      <w:r>
        <w:rPr>
          <w:lang w:val="en-AU"/>
        </w:rPr>
        <w:t xml:space="preserve"> p. 35.</w:t>
      </w:r>
    </w:p>
  </w:footnote>
  <w:footnote w:id="20">
    <w:p w14:paraId="1EE5F6E1" w14:textId="77777777" w:rsidR="00000000" w:rsidRDefault="0067673B">
      <w:pPr>
        <w:pStyle w:val="FootnoteText"/>
      </w:pPr>
      <w:r>
        <w:rPr>
          <w:rStyle w:val="FootnoteReference"/>
        </w:rPr>
        <w:footnoteRef/>
      </w:r>
      <w:r>
        <w:t xml:space="preserve"> </w:t>
      </w:r>
      <w:r w:rsidRPr="0067673B">
        <w:rPr>
          <w:lang w:val="en-AU"/>
        </w:rPr>
        <w:t xml:space="preserve">Mental Health First Aid Australia. (2023). Women and mental health across the lifespan. </w:t>
      </w:r>
      <w:hyperlink r:id="rId13" w:history="1">
        <w:r w:rsidRPr="0067673B">
          <w:rPr>
            <w:rStyle w:val="Hyperlink"/>
            <w:lang w:val="en-AU"/>
          </w:rPr>
          <w:t>https://www.mhfa.com.au/women-and-mental-health-across-the-lifespan/</w:t>
        </w:r>
      </w:hyperlink>
    </w:p>
  </w:footnote>
  <w:footnote w:id="21">
    <w:p w14:paraId="773CE1F0" w14:textId="77777777" w:rsidR="00000000" w:rsidRDefault="008465D6">
      <w:pPr>
        <w:pStyle w:val="FootnoteText"/>
      </w:pPr>
      <w:r>
        <w:rPr>
          <w:rStyle w:val="FootnoteReference"/>
        </w:rPr>
        <w:footnoteRef/>
      </w:r>
      <w:r>
        <w:t xml:space="preserve"> </w:t>
      </w:r>
      <w:r w:rsidR="002B4BB1" w:rsidRPr="002B4BB1">
        <w:rPr>
          <w:lang w:val="en-AU"/>
        </w:rPr>
        <w:t xml:space="preserve">Webster, K. (2016). </w:t>
      </w:r>
      <w:r w:rsidR="002B4BB1" w:rsidRPr="002A7BDB">
        <w:rPr>
          <w:i/>
          <w:iCs/>
          <w:lang w:val="en-AU"/>
        </w:rPr>
        <w:t>A preventable burden: Measuring and addressing the prevalence and health impacts of intimate partner violence in Australian women</w:t>
      </w:r>
      <w:r w:rsidR="002B4BB1" w:rsidRPr="002B4BB1">
        <w:rPr>
          <w:lang w:val="en-AU"/>
        </w:rPr>
        <w:t xml:space="preserve"> (ANROWS Compass, 07/2016). ANROWS.</w:t>
      </w:r>
      <w:hyperlink r:id="rId14" w:history="1">
        <w:r w:rsidR="002B4BB1" w:rsidRPr="002B4BB1">
          <w:rPr>
            <w:rStyle w:val="Hyperlink"/>
            <w:lang w:val="en-AU"/>
          </w:rPr>
          <w:t>https://anrows-2019.s3.ap-southeast-2.amazonaws.com/wp-content/uploads/2019/01/19025309/28-10-16-BOD-Compass.pdf</w:t>
        </w:r>
      </w:hyperlink>
      <w:r w:rsidR="002B4BB1">
        <w:t>, p. 7.</w:t>
      </w:r>
    </w:p>
  </w:footnote>
  <w:footnote w:id="22">
    <w:p w14:paraId="75B4A9F9" w14:textId="77777777" w:rsidR="00000000" w:rsidRDefault="00E65867">
      <w:pPr>
        <w:pStyle w:val="FootnoteText"/>
      </w:pPr>
      <w:r>
        <w:rPr>
          <w:rStyle w:val="FootnoteReference"/>
        </w:rPr>
        <w:footnoteRef/>
      </w:r>
      <w:r>
        <w:t xml:space="preserve"> </w:t>
      </w:r>
      <w:r w:rsidRPr="00E65867">
        <w:t xml:space="preserve">Lum On, M., Ayre, J., Webster, K, Moon, L. (2016). </w:t>
      </w:r>
      <w:r w:rsidRPr="002A7BDB">
        <w:rPr>
          <w:i/>
          <w:iCs/>
        </w:rPr>
        <w:t>Examination of the health outcomes of intimate partner violence against women: State of knowledge paper</w:t>
      </w:r>
      <w:r w:rsidRPr="00E65867">
        <w:t xml:space="preserve">. </w:t>
      </w:r>
      <w:r w:rsidR="00A53A10" w:rsidRPr="00A53A10">
        <w:rPr>
          <w:lang w:val="en-AU"/>
        </w:rPr>
        <w:t xml:space="preserve">Australia’s National Research Organisation for Women’s Safety </w:t>
      </w:r>
      <w:r w:rsidR="00A53A10">
        <w:rPr>
          <w:lang w:val="en-AU"/>
        </w:rPr>
        <w:t>(</w:t>
      </w:r>
      <w:r w:rsidRPr="00E65867">
        <w:t>ANROWS</w:t>
      </w:r>
      <w:r w:rsidR="00A53A10">
        <w:t>).</w:t>
      </w:r>
      <w:r w:rsidRPr="00E65867">
        <w:t xml:space="preserve"> </w:t>
      </w:r>
      <w:hyperlink r:id="rId15" w:history="1">
        <w:r w:rsidRPr="00E65867">
          <w:rPr>
            <w:rStyle w:val="Hyperlink"/>
          </w:rPr>
          <w:t>https://anrows-2019.s3.ap-southeast-2.amazonaws.com/wp-content/uploads/2019/02/19024846/160324_1.7-Burden-of-Disease-FINAL_0.pdf</w:t>
        </w:r>
      </w:hyperlink>
      <w:r w:rsidR="00525739">
        <w:t>, p. 20.</w:t>
      </w:r>
      <w:r w:rsidRPr="00E65867">
        <w:t xml:space="preserve"> </w:t>
      </w:r>
    </w:p>
  </w:footnote>
  <w:footnote w:id="23">
    <w:p w14:paraId="2EE9A3FA" w14:textId="77777777" w:rsidR="00000000" w:rsidRDefault="00A53A10">
      <w:pPr>
        <w:pStyle w:val="FootnoteText"/>
      </w:pPr>
      <w:r>
        <w:rPr>
          <w:rStyle w:val="FootnoteReference"/>
        </w:rPr>
        <w:footnoteRef/>
      </w:r>
      <w:r>
        <w:t xml:space="preserve"> </w:t>
      </w:r>
      <w:r w:rsidRPr="00A53A10">
        <w:rPr>
          <w:lang w:val="en-AU"/>
        </w:rPr>
        <w:t xml:space="preserve">Australia’s National Research Organisation for Women’s Safety (ANROWS). (2020). </w:t>
      </w:r>
      <w:r w:rsidRPr="002A7BDB">
        <w:rPr>
          <w:i/>
          <w:iCs/>
          <w:lang w:val="en-AU"/>
        </w:rPr>
        <w:t>Violence against women and mental health</w:t>
      </w:r>
      <w:r w:rsidRPr="00A53A10">
        <w:rPr>
          <w:lang w:val="en-AU"/>
        </w:rPr>
        <w:t xml:space="preserve"> (ANROWS Insights, 04/2020).</w:t>
      </w:r>
      <w:r>
        <w:rPr>
          <w:lang w:val="en-AU"/>
        </w:rPr>
        <w:t xml:space="preserve"> </w:t>
      </w:r>
      <w:hyperlink r:id="rId16" w:history="1">
        <w:r w:rsidRPr="00A53A10">
          <w:rPr>
            <w:rStyle w:val="Hyperlink"/>
            <w:lang w:val="en-AU"/>
          </w:rPr>
          <w:t>https://anrows-2019.s3.ap-southeast-2.amazonaws.com/wp-content/uploads/2020/07/23094405/VAW-MH-Synthesis-ANROWS-Insights.pdf</w:t>
        </w:r>
      </w:hyperlink>
      <w:r>
        <w:rPr>
          <w:lang w:val="en-AU"/>
        </w:rPr>
        <w:t>, p. 3.</w:t>
      </w:r>
    </w:p>
  </w:footnote>
  <w:footnote w:id="24">
    <w:p w14:paraId="544484A9" w14:textId="77777777" w:rsidR="00000000" w:rsidRDefault="00E402D4">
      <w:pPr>
        <w:pStyle w:val="FootnoteText"/>
      </w:pPr>
      <w:r>
        <w:rPr>
          <w:rStyle w:val="FootnoteReference"/>
        </w:rPr>
        <w:footnoteRef/>
      </w:r>
      <w:r>
        <w:t xml:space="preserve"> </w:t>
      </w:r>
      <w:r w:rsidR="0051331F" w:rsidRPr="0051331F">
        <w:rPr>
          <w:lang w:val="en-AU"/>
        </w:rPr>
        <w:t xml:space="preserve">Townsend, N., Loxton, D., Egan, N., Barnes, I., Byrnes, E., &amp; Forder, P. (2022). </w:t>
      </w:r>
      <w:r w:rsidR="0051331F" w:rsidRPr="002A7BDB">
        <w:rPr>
          <w:i/>
          <w:iCs/>
          <w:lang w:val="en-AU"/>
        </w:rPr>
        <w:t>A life course approach to determining the prevalence and impact of sexual violence in Australia: Findings from the Australian Longitudinal Study on Women’s Health</w:t>
      </w:r>
      <w:r w:rsidR="0051331F" w:rsidRPr="0051331F">
        <w:rPr>
          <w:lang w:val="en-AU"/>
        </w:rPr>
        <w:t xml:space="preserve"> (Research report, 14/2022). ANROWS. </w:t>
      </w:r>
      <w:hyperlink r:id="rId17" w:history="1">
        <w:r w:rsidR="0051331F" w:rsidRPr="0051331F">
          <w:rPr>
            <w:rStyle w:val="Hyperlink"/>
            <w:lang w:val="en-AU"/>
          </w:rPr>
          <w:t>https://alswh.org.au/wp-content/uploads/2022/09/ANROWS-Report-Life-course-approach-to-sexual-violence-prevalence-and-impact.pdf</w:t>
        </w:r>
      </w:hyperlink>
    </w:p>
  </w:footnote>
  <w:footnote w:id="25">
    <w:p w14:paraId="63A2353D" w14:textId="77777777" w:rsidR="00000000" w:rsidRDefault="0051331F">
      <w:pPr>
        <w:pStyle w:val="FootnoteText"/>
      </w:pPr>
      <w:r>
        <w:rPr>
          <w:rStyle w:val="FootnoteReference"/>
        </w:rPr>
        <w:footnoteRef/>
      </w:r>
      <w:r>
        <w:t xml:space="preserve"> </w:t>
      </w:r>
      <w:r>
        <w:rPr>
          <w:lang w:val="en-AU"/>
        </w:rPr>
        <w:t>Towns</w:t>
      </w:r>
      <w:r w:rsidR="00DF0678">
        <w:rPr>
          <w:lang w:val="en-AU"/>
        </w:rPr>
        <w:t>end et al</w:t>
      </w:r>
      <w:r w:rsidR="00736398">
        <w:rPr>
          <w:lang w:val="en-AU"/>
        </w:rPr>
        <w:t>.</w:t>
      </w:r>
      <w:r w:rsidR="00DF0678">
        <w:rPr>
          <w:lang w:val="en-AU"/>
        </w:rPr>
        <w:t xml:space="preserve"> (2022), p. </w:t>
      </w:r>
      <w:r w:rsidR="005140EE">
        <w:rPr>
          <w:lang w:val="en-AU"/>
        </w:rPr>
        <w:t>31.</w:t>
      </w:r>
    </w:p>
  </w:footnote>
  <w:footnote w:id="26">
    <w:p w14:paraId="60E149F0" w14:textId="77777777" w:rsidR="00000000" w:rsidRDefault="003F2AC6">
      <w:pPr>
        <w:pStyle w:val="FootnoteText"/>
      </w:pPr>
      <w:r>
        <w:rPr>
          <w:rStyle w:val="FootnoteReference"/>
        </w:rPr>
        <w:footnoteRef/>
      </w:r>
      <w:r>
        <w:t xml:space="preserve"> </w:t>
      </w:r>
      <w:r>
        <w:rPr>
          <w:lang w:val="en-AU"/>
        </w:rPr>
        <w:t>Townsend et al</w:t>
      </w:r>
      <w:r w:rsidR="00736398">
        <w:rPr>
          <w:lang w:val="en-AU"/>
        </w:rPr>
        <w:t>.</w:t>
      </w:r>
      <w:r>
        <w:rPr>
          <w:lang w:val="en-AU"/>
        </w:rPr>
        <w:t xml:space="preserve"> (2022), p</w:t>
      </w:r>
      <w:r w:rsidR="006F5441">
        <w:rPr>
          <w:lang w:val="en-AU"/>
        </w:rPr>
        <w:t>p</w:t>
      </w:r>
      <w:r>
        <w:rPr>
          <w:lang w:val="en-AU"/>
        </w:rPr>
        <w:t>. 63–</w:t>
      </w:r>
      <w:r w:rsidR="006F5441">
        <w:rPr>
          <w:lang w:val="en-AU"/>
        </w:rPr>
        <w:t>68.</w:t>
      </w:r>
      <w:r>
        <w:rPr>
          <w:lang w:val="en-AU"/>
        </w:rPr>
        <w:t xml:space="preserve"> </w:t>
      </w:r>
    </w:p>
  </w:footnote>
  <w:footnote w:id="27">
    <w:p w14:paraId="3DDE61CA" w14:textId="77777777" w:rsidR="00000000" w:rsidRDefault="006F5441">
      <w:pPr>
        <w:pStyle w:val="FootnoteText"/>
      </w:pPr>
      <w:r>
        <w:rPr>
          <w:rStyle w:val="FootnoteReference"/>
        </w:rPr>
        <w:footnoteRef/>
      </w:r>
      <w:r w:rsidR="00031D80">
        <w:t xml:space="preserve"> For more information about Women’s Health Matters’ Survey of Women’s Health in the ACT, see:</w:t>
      </w:r>
      <w:r>
        <w:t xml:space="preserve"> </w:t>
      </w:r>
      <w:hyperlink r:id="rId18" w:history="1">
        <w:r w:rsidR="00031D80" w:rsidRPr="00082034">
          <w:rPr>
            <w:rStyle w:val="Hyperlink"/>
          </w:rPr>
          <w:t>https://www.womenshealthmatters.org.au/womens-health-wellbeing/surveyofwomenshealth/</w:t>
        </w:r>
      </w:hyperlink>
      <w:r w:rsidR="00031D80">
        <w:t xml:space="preserve"> </w:t>
      </w:r>
    </w:p>
  </w:footnote>
  <w:footnote w:id="28">
    <w:p w14:paraId="175A67EA" w14:textId="77777777" w:rsidR="00000000" w:rsidRDefault="0037550E">
      <w:pPr>
        <w:pStyle w:val="FootnoteText"/>
      </w:pPr>
      <w:r>
        <w:rPr>
          <w:rStyle w:val="FootnoteReference"/>
        </w:rPr>
        <w:footnoteRef/>
      </w:r>
      <w:r>
        <w:t xml:space="preserve"> </w:t>
      </w:r>
      <w:r w:rsidR="004C1202" w:rsidRPr="004C1202">
        <w:rPr>
          <w:lang w:val="en-AU"/>
        </w:rPr>
        <w:t xml:space="preserve">Women’s Health Matters. (2023). </w:t>
      </w:r>
      <w:r w:rsidR="004C1202" w:rsidRPr="004C1202">
        <w:rPr>
          <w:i/>
          <w:iCs/>
          <w:lang w:val="en-AU"/>
        </w:rPr>
        <w:t>Report on the Survey of Women’s Health in the ACT.</w:t>
      </w:r>
      <w:r w:rsidR="004C1202" w:rsidRPr="004C1202">
        <w:rPr>
          <w:lang w:val="en-AU"/>
        </w:rPr>
        <w:t xml:space="preserve"> </w:t>
      </w:r>
      <w:hyperlink r:id="rId19" w:history="1">
        <w:r w:rsidR="004C1202" w:rsidRPr="004C1202">
          <w:rPr>
            <w:rStyle w:val="Hyperlink"/>
            <w:lang w:val="en-AU"/>
          </w:rPr>
          <w:t>https://www.womenshealthmatters.org.au/wp-content/uploads/2023/07/Report-on-ACT-Survey-of-Womens-Health.pdf</w:t>
        </w:r>
      </w:hyperlink>
      <w:r w:rsidR="004C1202">
        <w:t xml:space="preserve">, </w:t>
      </w:r>
      <w:r w:rsidR="00BF0EE6">
        <w:t>pp. 43</w:t>
      </w:r>
      <w:r w:rsidR="006C4A74">
        <w:t xml:space="preserve">–46. </w:t>
      </w:r>
      <w:r w:rsidR="004C1202" w:rsidRPr="004C1202">
        <w:rPr>
          <w:lang w:val="en-AU"/>
        </w:rPr>
        <w:t xml:space="preserve"> </w:t>
      </w:r>
    </w:p>
  </w:footnote>
  <w:footnote w:id="29">
    <w:p w14:paraId="02513435" w14:textId="77777777" w:rsidR="00000000" w:rsidRDefault="00736398">
      <w:pPr>
        <w:pStyle w:val="FootnoteText"/>
      </w:pPr>
      <w:r>
        <w:rPr>
          <w:rStyle w:val="FootnoteReference"/>
        </w:rPr>
        <w:footnoteRef/>
      </w:r>
      <w:r>
        <w:t xml:space="preserve"> </w:t>
      </w:r>
      <w:r w:rsidRPr="004C1202">
        <w:rPr>
          <w:lang w:val="en-AU"/>
        </w:rPr>
        <w:t>Women’s Health Matters. (2023)</w:t>
      </w:r>
      <w:r>
        <w:rPr>
          <w:lang w:val="en-AU"/>
        </w:rPr>
        <w:t xml:space="preserve">, </w:t>
      </w:r>
      <w:r w:rsidR="00F10EF1">
        <w:rPr>
          <w:lang w:val="en-AU"/>
        </w:rPr>
        <w:t>p. 27.</w:t>
      </w:r>
    </w:p>
  </w:footnote>
  <w:footnote w:id="30">
    <w:p w14:paraId="004C9193" w14:textId="77777777" w:rsidR="00000000" w:rsidRDefault="00A03B96">
      <w:pPr>
        <w:pStyle w:val="FootnoteText"/>
      </w:pPr>
      <w:r>
        <w:rPr>
          <w:rStyle w:val="FootnoteReference"/>
        </w:rPr>
        <w:footnoteRef/>
      </w:r>
      <w:r>
        <w:t xml:space="preserve"> </w:t>
      </w:r>
      <w:r w:rsidRPr="004C1202">
        <w:rPr>
          <w:lang w:val="en-AU"/>
        </w:rPr>
        <w:t>Women’s Health Matters. (2023)</w:t>
      </w:r>
      <w:r>
        <w:rPr>
          <w:lang w:val="en-AU"/>
        </w:rPr>
        <w:t>, p. 77.</w:t>
      </w:r>
    </w:p>
  </w:footnote>
  <w:footnote w:id="31">
    <w:p w14:paraId="1479705A" w14:textId="77777777" w:rsidR="00000000" w:rsidRDefault="001B112C">
      <w:pPr>
        <w:pStyle w:val="FootnoteText"/>
      </w:pPr>
      <w:r>
        <w:rPr>
          <w:rStyle w:val="FootnoteReference"/>
        </w:rPr>
        <w:footnoteRef/>
      </w:r>
      <w:r>
        <w:t xml:space="preserve"> </w:t>
      </w:r>
      <w:r w:rsidRPr="004C1202">
        <w:rPr>
          <w:lang w:val="en-AU"/>
        </w:rPr>
        <w:t>Women’s Health Matters. (2023)</w:t>
      </w:r>
      <w:r>
        <w:rPr>
          <w:lang w:val="en-AU"/>
        </w:rPr>
        <w:t>, p. 78.</w:t>
      </w:r>
    </w:p>
  </w:footnote>
  <w:footnote w:id="32">
    <w:p w14:paraId="11D7DCCC" w14:textId="77777777" w:rsidR="00000000" w:rsidRDefault="001B112C">
      <w:pPr>
        <w:pStyle w:val="FootnoteText"/>
      </w:pPr>
      <w:r>
        <w:rPr>
          <w:rStyle w:val="FootnoteReference"/>
        </w:rPr>
        <w:footnoteRef/>
      </w:r>
      <w:r>
        <w:t xml:space="preserve"> </w:t>
      </w:r>
      <w:r w:rsidR="00736F0C" w:rsidRPr="004C1202">
        <w:rPr>
          <w:lang w:val="en-AU"/>
        </w:rPr>
        <w:t>Women’s Health Matters. (2023)</w:t>
      </w:r>
      <w:r w:rsidR="00736F0C">
        <w:rPr>
          <w:lang w:val="en-AU"/>
        </w:rPr>
        <w:t>, p. 36.</w:t>
      </w:r>
    </w:p>
  </w:footnote>
  <w:footnote w:id="33">
    <w:p w14:paraId="213E38DB" w14:textId="77777777" w:rsidR="00000000" w:rsidRDefault="00510E2C">
      <w:pPr>
        <w:pStyle w:val="FootnoteText"/>
      </w:pPr>
      <w:r>
        <w:rPr>
          <w:rStyle w:val="FootnoteReference"/>
        </w:rPr>
        <w:footnoteRef/>
      </w:r>
      <w:r>
        <w:t xml:space="preserve"> </w:t>
      </w:r>
      <w:r w:rsidRPr="004C1202">
        <w:rPr>
          <w:lang w:val="en-AU"/>
        </w:rPr>
        <w:t>Women’s Health Matters. (2023)</w:t>
      </w:r>
      <w:r>
        <w:rPr>
          <w:lang w:val="en-AU"/>
        </w:rPr>
        <w:t>, p.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07EF8" w14:textId="77777777" w:rsidR="00A775A2" w:rsidRDefault="00A775A2" w:rsidP="00E158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963D9AB" w14:textId="77777777" w:rsidR="00A775A2" w:rsidRDefault="00A775A2" w:rsidP="00A775A2">
    <w:pPr>
      <w:pStyle w:val="Head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46A24C56" w14:textId="77777777" w:rsidR="00C06A25" w:rsidRDefault="00C06A25" w:rsidP="00A775A2">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9AFD9" w14:textId="77777777" w:rsidR="00C82D51" w:rsidRPr="006F7052" w:rsidRDefault="00C82D51">
    <w:pPr>
      <w:pStyle w:val="Header"/>
      <w:jc w:val="right"/>
      <w:rPr>
        <w:color w:val="595959" w:themeColor="text1" w:themeTint="A6"/>
        <w:sz w:val="22"/>
        <w:szCs w:val="22"/>
      </w:rPr>
    </w:pPr>
    <w:r w:rsidRPr="006F7052">
      <w:rPr>
        <w:color w:val="595959" w:themeColor="text1" w:themeTint="A6"/>
        <w:sz w:val="22"/>
        <w:szCs w:val="22"/>
      </w:rPr>
      <w:t xml:space="preserve"> Women’s Health Matters </w:t>
    </w:r>
    <w:r w:rsidR="008D626C">
      <w:rPr>
        <w:color w:val="595959" w:themeColor="text1" w:themeTint="A6"/>
        <w:sz w:val="22"/>
        <w:szCs w:val="22"/>
      </w:rPr>
      <w:t>|</w:t>
    </w:r>
    <w:r w:rsidRPr="006F7052">
      <w:rPr>
        <w:color w:val="595959" w:themeColor="text1" w:themeTint="A6"/>
        <w:sz w:val="22"/>
        <w:szCs w:val="22"/>
      </w:rPr>
      <w:t xml:space="preserve"> Mental Health Commissioning </w:t>
    </w:r>
    <w:r w:rsidR="008D626C">
      <w:rPr>
        <w:color w:val="595959" w:themeColor="text1" w:themeTint="A6"/>
        <w:sz w:val="22"/>
        <w:szCs w:val="22"/>
      </w:rPr>
      <w:t>|</w:t>
    </w:r>
    <w:r w:rsidRPr="006F7052">
      <w:rPr>
        <w:color w:val="595959" w:themeColor="text1" w:themeTint="A6"/>
        <w:sz w:val="22"/>
        <w:szCs w:val="22"/>
      </w:rPr>
      <w:t xml:space="preserve"> </w:t>
    </w:r>
    <w:r w:rsidRPr="006F7052">
      <w:rPr>
        <w:color w:val="595959" w:themeColor="text1" w:themeTint="A6"/>
        <w:sz w:val="22"/>
        <w:szCs w:val="22"/>
      </w:rPr>
      <w:fldChar w:fldCharType="begin"/>
    </w:r>
    <w:r w:rsidRPr="006F7052">
      <w:rPr>
        <w:color w:val="595959" w:themeColor="text1" w:themeTint="A6"/>
        <w:sz w:val="22"/>
        <w:szCs w:val="22"/>
      </w:rPr>
      <w:instrText xml:space="preserve"> PAGE   \* MERGEFORMAT </w:instrText>
    </w:r>
    <w:r w:rsidRPr="006F7052">
      <w:rPr>
        <w:color w:val="595959" w:themeColor="text1" w:themeTint="A6"/>
        <w:sz w:val="22"/>
        <w:szCs w:val="22"/>
      </w:rPr>
      <w:fldChar w:fldCharType="separate"/>
    </w:r>
    <w:r w:rsidRPr="006F7052">
      <w:rPr>
        <w:noProof/>
        <w:color w:val="595959" w:themeColor="text1" w:themeTint="A6"/>
        <w:sz w:val="22"/>
        <w:szCs w:val="22"/>
      </w:rPr>
      <w:t>2</w:t>
    </w:r>
    <w:r w:rsidRPr="006F7052">
      <w:rPr>
        <w:color w:val="595959" w:themeColor="text1" w:themeTint="A6"/>
        <w:sz w:val="22"/>
        <w:szCs w:val="22"/>
      </w:rPr>
      <w:fldChar w:fldCharType="end"/>
    </w:r>
  </w:p>
  <w:p w14:paraId="2E5BFF4F" w14:textId="77777777" w:rsidR="002101CF" w:rsidRPr="002101CF" w:rsidRDefault="002101CF" w:rsidP="00210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49106" w14:textId="77777777" w:rsidR="00194DD3" w:rsidRDefault="00000000" w:rsidP="00B46566">
    <w:pPr>
      <w:pStyle w:val="Header"/>
      <w:tabs>
        <w:tab w:val="clear" w:pos="4513"/>
        <w:tab w:val="clear" w:pos="9026"/>
        <w:tab w:val="left" w:pos="6825"/>
      </w:tabs>
    </w:pPr>
    <w:r>
      <w:rPr>
        <w:noProof/>
      </w:rPr>
      <w:pict w14:anchorId="5DB714F4">
        <v:rect id="Rectangle 5" o:spid="_x0000_s1025" style="position:absolute;margin-left:541.3pt;margin-top:-34.1pt;width:52.55pt;height:912.1pt;z-index:251658240;visibility:visible;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" fillcolor="#c6057b" strokecolor="#c6057b" strokeweight="1.5pt">
          <w10:wrap anchorx="page"/>
        </v:rect>
      </w:pict>
    </w:r>
    <w:r w:rsidR="00FA71D7" w:rsidRPr="00EF39F3">
      <w:rPr>
        <w:noProof/>
      </w:rPr>
      <w:drawing>
        <wp:inline distT="0" distB="0" distL="0" distR="0" wp14:anchorId="53ABAC61" wp14:editId="7C00F9F9">
          <wp:extent cx="1219200" cy="695325"/>
          <wp:effectExtent l="0" t="0" r="0" b="0"/>
          <wp:docPr id="2" name="Picture 2" descr="A close up of a sign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95325"/>
                  </a:xfrm>
                  <a:prstGeom prst="rect">
                    <a:avLst/>
                  </a:prstGeom>
                  <a:noFill/>
                  <a:ln>
                    <a:noFill/>
                  </a:ln>
                </pic:spPr>
              </pic:pic>
            </a:graphicData>
          </a:graphic>
        </wp:inline>
      </w:drawing>
    </w:r>
    <w:r w:rsidR="00B46566">
      <w:rPr>
        <w:noProof/>
      </w:rPr>
      <w:tab/>
    </w:r>
  </w:p>
  <w:p w14:paraId="2BCC58DD" w14:textId="77777777" w:rsidR="00C06A25" w:rsidRDefault="00C06A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9236" w14:textId="77777777" w:rsidR="00B46566" w:rsidRDefault="00000000" w:rsidP="00A71815">
    <w:pPr>
      <w:pStyle w:val="Header"/>
      <w:tabs>
        <w:tab w:val="clear" w:pos="4513"/>
        <w:tab w:val="clear" w:pos="9026"/>
        <w:tab w:val="left" w:pos="6825"/>
      </w:tabs>
      <w:jc w:val="right"/>
    </w:pPr>
    <w:r>
      <w:rPr>
        <w:noProof/>
      </w:rPr>
      <w:pict w14:anchorId="4C82C582">
        <v:rect id="_x0000_s1026" style="position:absolute;left:0;text-align:left;margin-left:541.3pt;margin-top:-34.1pt;width:52.55pt;height:912.1pt;z-index:251660288;visibility:visible;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" fillcolor="#c6057b" strokecolor="#c6057b" strokeweight="1.5pt">
          <w10:wrap anchorx="page"/>
        </v:rect>
      </w:pict>
    </w:r>
    <w:r w:rsidR="00A71815">
      <w:t xml:space="preserve">                                        </w:t>
    </w:r>
    <w:r w:rsidR="00DA28C8">
      <w:t xml:space="preserve">  </w:t>
    </w:r>
    <w:r w:rsidR="00A71815" w:rsidRPr="006F7052">
      <w:rPr>
        <w:color w:val="595959" w:themeColor="text1" w:themeTint="A6"/>
        <w:sz w:val="22"/>
        <w:szCs w:val="22"/>
      </w:rPr>
      <w:t xml:space="preserve">Women’s Health Matters </w:t>
    </w:r>
    <w:r w:rsidR="00D07EC4">
      <w:rPr>
        <w:color w:val="595959" w:themeColor="text1" w:themeTint="A6"/>
        <w:sz w:val="22"/>
        <w:szCs w:val="22"/>
      </w:rPr>
      <w:t>|</w:t>
    </w:r>
    <w:r w:rsidR="00A71815" w:rsidRPr="006F7052">
      <w:rPr>
        <w:color w:val="595959" w:themeColor="text1" w:themeTint="A6"/>
        <w:sz w:val="22"/>
        <w:szCs w:val="22"/>
      </w:rPr>
      <w:t xml:space="preserve"> Mental Health Commissioning </w:t>
    </w:r>
    <w:r w:rsidR="00D07EC4">
      <w:rPr>
        <w:color w:val="595959" w:themeColor="text1" w:themeTint="A6"/>
        <w:sz w:val="22"/>
        <w:szCs w:val="22"/>
      </w:rPr>
      <w:t>|</w:t>
    </w:r>
    <w:r w:rsidR="00A71815" w:rsidRPr="006F7052">
      <w:rPr>
        <w:color w:val="595959" w:themeColor="text1" w:themeTint="A6"/>
        <w:sz w:val="22"/>
        <w:szCs w:val="22"/>
      </w:rPr>
      <w:t xml:space="preserve"> </w:t>
    </w:r>
    <w:r w:rsidR="00A71815">
      <w:rPr>
        <w:color w:val="595959" w:themeColor="text1" w:themeTint="A6"/>
        <w:sz w:val="22"/>
        <w:szCs w:val="22"/>
      </w:rPr>
      <w:t>1</w:t>
    </w:r>
    <w:r w:rsidR="00611E5E">
      <w:rPr>
        <w:color w:val="595959" w:themeColor="text1" w:themeTint="A6"/>
        <w:sz w:val="22"/>
        <w:szCs w:val="22"/>
      </w:rPr>
      <w:t>6</w:t>
    </w:r>
    <w:r w:rsidR="00B46566">
      <w:rPr>
        <w:noProof/>
      </w:rPr>
      <w:tab/>
    </w:r>
  </w:p>
  <w:p w14:paraId="0645FE28" w14:textId="77777777" w:rsidR="00B46566" w:rsidRDefault="00B46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87DE"/>
    <w:multiLevelType w:val="hybridMultilevel"/>
    <w:tmpl w:val="FFFFFFFF"/>
    <w:lvl w:ilvl="0" w:tplc="E0665382">
      <w:start w:val="7"/>
      <w:numFmt w:val="bullet"/>
      <w:lvlText w:val=""/>
      <w:lvlJc w:val="left"/>
      <w:pPr>
        <w:ind w:left="720" w:hanging="360"/>
      </w:pPr>
      <w:rPr>
        <w:rFonts w:ascii="Symbol" w:hAnsi="Symbol" w:hint="default"/>
      </w:rPr>
    </w:lvl>
    <w:lvl w:ilvl="1" w:tplc="253CB8CE">
      <w:start w:val="1"/>
      <w:numFmt w:val="bullet"/>
      <w:lvlText w:val="o"/>
      <w:lvlJc w:val="left"/>
      <w:pPr>
        <w:ind w:left="1440" w:hanging="360"/>
      </w:pPr>
      <w:rPr>
        <w:rFonts w:ascii="Courier New" w:hAnsi="Courier New" w:hint="default"/>
      </w:rPr>
    </w:lvl>
    <w:lvl w:ilvl="2" w:tplc="4A4E1918">
      <w:start w:val="1"/>
      <w:numFmt w:val="bullet"/>
      <w:lvlText w:val=""/>
      <w:lvlJc w:val="left"/>
      <w:pPr>
        <w:ind w:left="2160" w:hanging="360"/>
      </w:pPr>
      <w:rPr>
        <w:rFonts w:ascii="Wingdings" w:hAnsi="Wingdings" w:hint="default"/>
      </w:rPr>
    </w:lvl>
    <w:lvl w:ilvl="3" w:tplc="2B0A9E62">
      <w:start w:val="1"/>
      <w:numFmt w:val="bullet"/>
      <w:lvlText w:val=""/>
      <w:lvlJc w:val="left"/>
      <w:pPr>
        <w:ind w:left="2880" w:hanging="360"/>
      </w:pPr>
      <w:rPr>
        <w:rFonts w:ascii="Symbol" w:hAnsi="Symbol" w:hint="default"/>
      </w:rPr>
    </w:lvl>
    <w:lvl w:ilvl="4" w:tplc="9AEE0BEC">
      <w:start w:val="1"/>
      <w:numFmt w:val="bullet"/>
      <w:lvlText w:val="o"/>
      <w:lvlJc w:val="left"/>
      <w:pPr>
        <w:ind w:left="3600" w:hanging="360"/>
      </w:pPr>
      <w:rPr>
        <w:rFonts w:ascii="Courier New" w:hAnsi="Courier New" w:hint="default"/>
      </w:rPr>
    </w:lvl>
    <w:lvl w:ilvl="5" w:tplc="DFDA4404">
      <w:start w:val="1"/>
      <w:numFmt w:val="bullet"/>
      <w:lvlText w:val=""/>
      <w:lvlJc w:val="left"/>
      <w:pPr>
        <w:ind w:left="4320" w:hanging="360"/>
      </w:pPr>
      <w:rPr>
        <w:rFonts w:ascii="Wingdings" w:hAnsi="Wingdings" w:hint="default"/>
      </w:rPr>
    </w:lvl>
    <w:lvl w:ilvl="6" w:tplc="9E3ABFB8">
      <w:start w:val="1"/>
      <w:numFmt w:val="bullet"/>
      <w:lvlText w:val=""/>
      <w:lvlJc w:val="left"/>
      <w:pPr>
        <w:ind w:left="5040" w:hanging="360"/>
      </w:pPr>
      <w:rPr>
        <w:rFonts w:ascii="Symbol" w:hAnsi="Symbol" w:hint="default"/>
      </w:rPr>
    </w:lvl>
    <w:lvl w:ilvl="7" w:tplc="77BE0FAC">
      <w:start w:val="1"/>
      <w:numFmt w:val="bullet"/>
      <w:lvlText w:val="o"/>
      <w:lvlJc w:val="left"/>
      <w:pPr>
        <w:ind w:left="5760" w:hanging="360"/>
      </w:pPr>
      <w:rPr>
        <w:rFonts w:ascii="Courier New" w:hAnsi="Courier New" w:hint="default"/>
      </w:rPr>
    </w:lvl>
    <w:lvl w:ilvl="8" w:tplc="8F2AA5C2">
      <w:start w:val="1"/>
      <w:numFmt w:val="bullet"/>
      <w:lvlText w:val=""/>
      <w:lvlJc w:val="left"/>
      <w:pPr>
        <w:ind w:left="6480" w:hanging="360"/>
      </w:pPr>
      <w:rPr>
        <w:rFonts w:ascii="Wingdings" w:hAnsi="Wingdings" w:hint="default"/>
      </w:rPr>
    </w:lvl>
  </w:abstractNum>
  <w:abstractNum w:abstractNumId="1" w15:restartNumberingAfterBreak="0">
    <w:nsid w:val="1AFC59C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91EE7"/>
    <w:multiLevelType w:val="hybridMultilevel"/>
    <w:tmpl w:val="FFFFFFFF"/>
    <w:lvl w:ilvl="0" w:tplc="1E9CC2AA">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5A33A5"/>
    <w:multiLevelType w:val="hybridMultilevel"/>
    <w:tmpl w:val="FFFFFFFF"/>
    <w:lvl w:ilvl="0" w:tplc="6116FC3A">
      <w:start w:val="7"/>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DB0FB7"/>
    <w:multiLevelType w:val="hybridMultilevel"/>
    <w:tmpl w:val="FFFFFFFF"/>
    <w:lvl w:ilvl="0" w:tplc="D300676A">
      <w:start w:val="1"/>
      <w:numFmt w:val="bullet"/>
      <w:lvlText w:val=""/>
      <w:lvlJc w:val="left"/>
      <w:pPr>
        <w:ind w:left="720" w:hanging="360"/>
      </w:pPr>
      <w:rPr>
        <w:rFonts w:ascii="Symbol" w:hAnsi="Symbol" w:hint="default"/>
      </w:rPr>
    </w:lvl>
    <w:lvl w:ilvl="1" w:tplc="C86420F8">
      <w:start w:val="1"/>
      <w:numFmt w:val="bullet"/>
      <w:lvlText w:val="o"/>
      <w:lvlJc w:val="left"/>
      <w:pPr>
        <w:ind w:left="1440" w:hanging="360"/>
      </w:pPr>
      <w:rPr>
        <w:rFonts w:ascii="Courier New" w:hAnsi="Courier New" w:hint="default"/>
      </w:rPr>
    </w:lvl>
    <w:lvl w:ilvl="2" w:tplc="1C10F5E0">
      <w:start w:val="1"/>
      <w:numFmt w:val="bullet"/>
      <w:lvlText w:val=""/>
      <w:lvlJc w:val="left"/>
      <w:pPr>
        <w:ind w:left="2160" w:hanging="360"/>
      </w:pPr>
      <w:rPr>
        <w:rFonts w:ascii="Wingdings" w:hAnsi="Wingdings" w:hint="default"/>
      </w:rPr>
    </w:lvl>
    <w:lvl w:ilvl="3" w:tplc="4B2A0E6A">
      <w:start w:val="1"/>
      <w:numFmt w:val="bullet"/>
      <w:lvlText w:val=""/>
      <w:lvlJc w:val="left"/>
      <w:pPr>
        <w:ind w:left="2880" w:hanging="360"/>
      </w:pPr>
      <w:rPr>
        <w:rFonts w:ascii="Symbol" w:hAnsi="Symbol" w:hint="default"/>
      </w:rPr>
    </w:lvl>
    <w:lvl w:ilvl="4" w:tplc="743C8806">
      <w:start w:val="1"/>
      <w:numFmt w:val="bullet"/>
      <w:lvlText w:val="o"/>
      <w:lvlJc w:val="left"/>
      <w:pPr>
        <w:ind w:left="3600" w:hanging="360"/>
      </w:pPr>
      <w:rPr>
        <w:rFonts w:ascii="Courier New" w:hAnsi="Courier New" w:hint="default"/>
      </w:rPr>
    </w:lvl>
    <w:lvl w:ilvl="5" w:tplc="D782349E">
      <w:start w:val="1"/>
      <w:numFmt w:val="bullet"/>
      <w:lvlText w:val=""/>
      <w:lvlJc w:val="left"/>
      <w:pPr>
        <w:ind w:left="4320" w:hanging="360"/>
      </w:pPr>
      <w:rPr>
        <w:rFonts w:ascii="Wingdings" w:hAnsi="Wingdings" w:hint="default"/>
      </w:rPr>
    </w:lvl>
    <w:lvl w:ilvl="6" w:tplc="F692FAD4">
      <w:start w:val="1"/>
      <w:numFmt w:val="bullet"/>
      <w:lvlText w:val=""/>
      <w:lvlJc w:val="left"/>
      <w:pPr>
        <w:ind w:left="5040" w:hanging="360"/>
      </w:pPr>
      <w:rPr>
        <w:rFonts w:ascii="Symbol" w:hAnsi="Symbol" w:hint="default"/>
      </w:rPr>
    </w:lvl>
    <w:lvl w:ilvl="7" w:tplc="3EF0D576">
      <w:start w:val="1"/>
      <w:numFmt w:val="bullet"/>
      <w:lvlText w:val="o"/>
      <w:lvlJc w:val="left"/>
      <w:pPr>
        <w:ind w:left="5760" w:hanging="360"/>
      </w:pPr>
      <w:rPr>
        <w:rFonts w:ascii="Courier New" w:hAnsi="Courier New" w:hint="default"/>
      </w:rPr>
    </w:lvl>
    <w:lvl w:ilvl="8" w:tplc="BE4C1E7A">
      <w:start w:val="1"/>
      <w:numFmt w:val="bullet"/>
      <w:lvlText w:val=""/>
      <w:lvlJc w:val="left"/>
      <w:pPr>
        <w:ind w:left="6480" w:hanging="360"/>
      </w:pPr>
      <w:rPr>
        <w:rFonts w:ascii="Wingdings" w:hAnsi="Wingdings" w:hint="default"/>
      </w:rPr>
    </w:lvl>
  </w:abstractNum>
  <w:abstractNum w:abstractNumId="5" w15:restartNumberingAfterBreak="0">
    <w:nsid w:val="4B80293F"/>
    <w:multiLevelType w:val="hybridMultilevel"/>
    <w:tmpl w:val="FFFFFFFF"/>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E5C63B4"/>
    <w:multiLevelType w:val="hybridMultilevel"/>
    <w:tmpl w:val="FFFFFFFF"/>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56A115B7"/>
    <w:multiLevelType w:val="hybridMultilevel"/>
    <w:tmpl w:val="FFFFFFFF"/>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68D3312F"/>
    <w:multiLevelType w:val="hybridMultilevel"/>
    <w:tmpl w:val="FFFFFFFF"/>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7B677B1F"/>
    <w:multiLevelType w:val="hybridMultilevel"/>
    <w:tmpl w:val="FFFFFFFF"/>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1169297060">
    <w:abstractNumId w:val="0"/>
  </w:num>
  <w:num w:numId="2" w16cid:durableId="1232472475">
    <w:abstractNumId w:val="4"/>
  </w:num>
  <w:num w:numId="3" w16cid:durableId="1112282108">
    <w:abstractNumId w:val="1"/>
  </w:num>
  <w:num w:numId="4" w16cid:durableId="1606766012">
    <w:abstractNumId w:val="5"/>
  </w:num>
  <w:num w:numId="5" w16cid:durableId="1835223422">
    <w:abstractNumId w:val="6"/>
  </w:num>
  <w:num w:numId="6" w16cid:durableId="935332927">
    <w:abstractNumId w:val="3"/>
  </w:num>
  <w:num w:numId="7" w16cid:durableId="283539880">
    <w:abstractNumId w:val="9"/>
  </w:num>
  <w:num w:numId="8" w16cid:durableId="2015063600">
    <w:abstractNumId w:val="2"/>
  </w:num>
  <w:num w:numId="9" w16cid:durableId="1884172493">
    <w:abstractNumId w:val="8"/>
  </w:num>
  <w:num w:numId="10" w16cid:durableId="1461611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2101CF"/>
    <w:rsid w:val="0000012D"/>
    <w:rsid w:val="00005CCE"/>
    <w:rsid w:val="00010453"/>
    <w:rsid w:val="0001473F"/>
    <w:rsid w:val="000201A4"/>
    <w:rsid w:val="00026149"/>
    <w:rsid w:val="0003198F"/>
    <w:rsid w:val="00031A22"/>
    <w:rsid w:val="00031D80"/>
    <w:rsid w:val="000327BD"/>
    <w:rsid w:val="00033DD2"/>
    <w:rsid w:val="00035D4A"/>
    <w:rsid w:val="00036E55"/>
    <w:rsid w:val="0003705E"/>
    <w:rsid w:val="00042015"/>
    <w:rsid w:val="00042174"/>
    <w:rsid w:val="00050972"/>
    <w:rsid w:val="00054E80"/>
    <w:rsid w:val="00057037"/>
    <w:rsid w:val="000576C7"/>
    <w:rsid w:val="00062850"/>
    <w:rsid w:val="000628F9"/>
    <w:rsid w:val="00071E82"/>
    <w:rsid w:val="00073212"/>
    <w:rsid w:val="00082034"/>
    <w:rsid w:val="00082192"/>
    <w:rsid w:val="0008224A"/>
    <w:rsid w:val="00083398"/>
    <w:rsid w:val="0008677A"/>
    <w:rsid w:val="00087A63"/>
    <w:rsid w:val="0009117B"/>
    <w:rsid w:val="00092795"/>
    <w:rsid w:val="00094D19"/>
    <w:rsid w:val="000A4058"/>
    <w:rsid w:val="000B4389"/>
    <w:rsid w:val="000B7490"/>
    <w:rsid w:val="000C112E"/>
    <w:rsid w:val="000C28B7"/>
    <w:rsid w:val="000C7102"/>
    <w:rsid w:val="000C71C2"/>
    <w:rsid w:val="000D204E"/>
    <w:rsid w:val="000D3CC1"/>
    <w:rsid w:val="000D4290"/>
    <w:rsid w:val="000D5CC6"/>
    <w:rsid w:val="000D5FB8"/>
    <w:rsid w:val="000D63E0"/>
    <w:rsid w:val="000E06D5"/>
    <w:rsid w:val="000E294C"/>
    <w:rsid w:val="000F1A39"/>
    <w:rsid w:val="000F3BE7"/>
    <w:rsid w:val="000F53AE"/>
    <w:rsid w:val="000F577D"/>
    <w:rsid w:val="00105699"/>
    <w:rsid w:val="00105B73"/>
    <w:rsid w:val="00113A14"/>
    <w:rsid w:val="00115B6D"/>
    <w:rsid w:val="001269B7"/>
    <w:rsid w:val="0012728D"/>
    <w:rsid w:val="0013245F"/>
    <w:rsid w:val="001436E0"/>
    <w:rsid w:val="001456B0"/>
    <w:rsid w:val="001469A1"/>
    <w:rsid w:val="00151057"/>
    <w:rsid w:val="001524D5"/>
    <w:rsid w:val="001548FF"/>
    <w:rsid w:val="0015550E"/>
    <w:rsid w:val="001605DC"/>
    <w:rsid w:val="00160B68"/>
    <w:rsid w:val="0016456F"/>
    <w:rsid w:val="00167783"/>
    <w:rsid w:val="001725D5"/>
    <w:rsid w:val="00176E2C"/>
    <w:rsid w:val="0018380F"/>
    <w:rsid w:val="001846D4"/>
    <w:rsid w:val="00187DCE"/>
    <w:rsid w:val="00193E5D"/>
    <w:rsid w:val="00194DD3"/>
    <w:rsid w:val="00195B4D"/>
    <w:rsid w:val="00196808"/>
    <w:rsid w:val="001A7CF2"/>
    <w:rsid w:val="001B112C"/>
    <w:rsid w:val="001B194B"/>
    <w:rsid w:val="001B5DDC"/>
    <w:rsid w:val="001B7BBF"/>
    <w:rsid w:val="001C6540"/>
    <w:rsid w:val="001C73D9"/>
    <w:rsid w:val="001D3CE1"/>
    <w:rsid w:val="001D47AA"/>
    <w:rsid w:val="001D5EC2"/>
    <w:rsid w:val="001E1B94"/>
    <w:rsid w:val="001E661E"/>
    <w:rsid w:val="001E72C2"/>
    <w:rsid w:val="001F006E"/>
    <w:rsid w:val="001F0A88"/>
    <w:rsid w:val="001F1152"/>
    <w:rsid w:val="001F2EC5"/>
    <w:rsid w:val="002016B0"/>
    <w:rsid w:val="002020B4"/>
    <w:rsid w:val="002101CF"/>
    <w:rsid w:val="002217AE"/>
    <w:rsid w:val="002330EC"/>
    <w:rsid w:val="0023644A"/>
    <w:rsid w:val="00236C05"/>
    <w:rsid w:val="00244121"/>
    <w:rsid w:val="002512BA"/>
    <w:rsid w:val="002636DA"/>
    <w:rsid w:val="00281B40"/>
    <w:rsid w:val="00290765"/>
    <w:rsid w:val="00297027"/>
    <w:rsid w:val="002A0885"/>
    <w:rsid w:val="002A1C35"/>
    <w:rsid w:val="002A60E7"/>
    <w:rsid w:val="002A7BDB"/>
    <w:rsid w:val="002B4BB1"/>
    <w:rsid w:val="002C248A"/>
    <w:rsid w:val="002D3486"/>
    <w:rsid w:val="002D6A2C"/>
    <w:rsid w:val="002D6F53"/>
    <w:rsid w:val="002E5D9F"/>
    <w:rsid w:val="002E648B"/>
    <w:rsid w:val="002E6561"/>
    <w:rsid w:val="002F1ABE"/>
    <w:rsid w:val="002F1BDE"/>
    <w:rsid w:val="00300B25"/>
    <w:rsid w:val="0030253B"/>
    <w:rsid w:val="00304940"/>
    <w:rsid w:val="00307C4A"/>
    <w:rsid w:val="00310A97"/>
    <w:rsid w:val="00311BCC"/>
    <w:rsid w:val="00312471"/>
    <w:rsid w:val="00315611"/>
    <w:rsid w:val="00316920"/>
    <w:rsid w:val="00316B86"/>
    <w:rsid w:val="0032338D"/>
    <w:rsid w:val="00326388"/>
    <w:rsid w:val="003272C1"/>
    <w:rsid w:val="00330817"/>
    <w:rsid w:val="00334F74"/>
    <w:rsid w:val="003360D6"/>
    <w:rsid w:val="00337CEF"/>
    <w:rsid w:val="00341F80"/>
    <w:rsid w:val="00345322"/>
    <w:rsid w:val="0034688E"/>
    <w:rsid w:val="00353C8C"/>
    <w:rsid w:val="00354D30"/>
    <w:rsid w:val="00355C72"/>
    <w:rsid w:val="00356DC0"/>
    <w:rsid w:val="00361B84"/>
    <w:rsid w:val="00361E46"/>
    <w:rsid w:val="0036498D"/>
    <w:rsid w:val="003740BF"/>
    <w:rsid w:val="00374404"/>
    <w:rsid w:val="003753B7"/>
    <w:rsid w:val="0037550E"/>
    <w:rsid w:val="00377BC6"/>
    <w:rsid w:val="00380017"/>
    <w:rsid w:val="003818F3"/>
    <w:rsid w:val="0038254C"/>
    <w:rsid w:val="00386B68"/>
    <w:rsid w:val="00386F15"/>
    <w:rsid w:val="003943A6"/>
    <w:rsid w:val="003952B0"/>
    <w:rsid w:val="003959D1"/>
    <w:rsid w:val="0039729A"/>
    <w:rsid w:val="003B487D"/>
    <w:rsid w:val="003B6F34"/>
    <w:rsid w:val="003C4322"/>
    <w:rsid w:val="003C620B"/>
    <w:rsid w:val="003C6EEC"/>
    <w:rsid w:val="003D3830"/>
    <w:rsid w:val="003D4973"/>
    <w:rsid w:val="003E0A41"/>
    <w:rsid w:val="003E0DF0"/>
    <w:rsid w:val="003E1259"/>
    <w:rsid w:val="003E61B3"/>
    <w:rsid w:val="003E6734"/>
    <w:rsid w:val="003E70C0"/>
    <w:rsid w:val="003F2AC6"/>
    <w:rsid w:val="003F3A30"/>
    <w:rsid w:val="00406530"/>
    <w:rsid w:val="00407FE9"/>
    <w:rsid w:val="004121DA"/>
    <w:rsid w:val="00412D77"/>
    <w:rsid w:val="0043152E"/>
    <w:rsid w:val="00437134"/>
    <w:rsid w:val="00437A0C"/>
    <w:rsid w:val="00441BC3"/>
    <w:rsid w:val="00446F1C"/>
    <w:rsid w:val="00453725"/>
    <w:rsid w:val="00455752"/>
    <w:rsid w:val="00456A8F"/>
    <w:rsid w:val="00456CA1"/>
    <w:rsid w:val="004571BE"/>
    <w:rsid w:val="00475444"/>
    <w:rsid w:val="00475980"/>
    <w:rsid w:val="0047749D"/>
    <w:rsid w:val="00482538"/>
    <w:rsid w:val="004906CC"/>
    <w:rsid w:val="00495683"/>
    <w:rsid w:val="00496B03"/>
    <w:rsid w:val="004B2B6A"/>
    <w:rsid w:val="004B6F36"/>
    <w:rsid w:val="004B7DE8"/>
    <w:rsid w:val="004C1202"/>
    <w:rsid w:val="004C352F"/>
    <w:rsid w:val="004C6779"/>
    <w:rsid w:val="004D73A8"/>
    <w:rsid w:val="004E5C9C"/>
    <w:rsid w:val="005035CB"/>
    <w:rsid w:val="005039BC"/>
    <w:rsid w:val="00507DC0"/>
    <w:rsid w:val="00510E2C"/>
    <w:rsid w:val="0051331F"/>
    <w:rsid w:val="005140EE"/>
    <w:rsid w:val="00515566"/>
    <w:rsid w:val="00515C0E"/>
    <w:rsid w:val="00520356"/>
    <w:rsid w:val="00525739"/>
    <w:rsid w:val="00527373"/>
    <w:rsid w:val="00541AB1"/>
    <w:rsid w:val="00544709"/>
    <w:rsid w:val="00545877"/>
    <w:rsid w:val="00546520"/>
    <w:rsid w:val="00551554"/>
    <w:rsid w:val="00551900"/>
    <w:rsid w:val="00552407"/>
    <w:rsid w:val="005602D0"/>
    <w:rsid w:val="00565FCD"/>
    <w:rsid w:val="0057489E"/>
    <w:rsid w:val="00577B2F"/>
    <w:rsid w:val="005A000D"/>
    <w:rsid w:val="005A0562"/>
    <w:rsid w:val="005A0F0F"/>
    <w:rsid w:val="005A1FB9"/>
    <w:rsid w:val="005A420F"/>
    <w:rsid w:val="005A7F2F"/>
    <w:rsid w:val="005B0A6D"/>
    <w:rsid w:val="005B1E4A"/>
    <w:rsid w:val="005D49E9"/>
    <w:rsid w:val="005E09E0"/>
    <w:rsid w:val="005E0B17"/>
    <w:rsid w:val="005E3982"/>
    <w:rsid w:val="005E5FD1"/>
    <w:rsid w:val="005F249B"/>
    <w:rsid w:val="00601D67"/>
    <w:rsid w:val="006107A7"/>
    <w:rsid w:val="00611B22"/>
    <w:rsid w:val="00611B92"/>
    <w:rsid w:val="00611E5E"/>
    <w:rsid w:val="006130CA"/>
    <w:rsid w:val="00613955"/>
    <w:rsid w:val="0062718F"/>
    <w:rsid w:val="00631B3C"/>
    <w:rsid w:val="006332A7"/>
    <w:rsid w:val="0063443F"/>
    <w:rsid w:val="006355D3"/>
    <w:rsid w:val="00655628"/>
    <w:rsid w:val="006557E9"/>
    <w:rsid w:val="006565A4"/>
    <w:rsid w:val="00657E38"/>
    <w:rsid w:val="0066339E"/>
    <w:rsid w:val="006647C6"/>
    <w:rsid w:val="006654A5"/>
    <w:rsid w:val="00665B5A"/>
    <w:rsid w:val="0066620B"/>
    <w:rsid w:val="00667D7C"/>
    <w:rsid w:val="006701F8"/>
    <w:rsid w:val="00671D93"/>
    <w:rsid w:val="006728F7"/>
    <w:rsid w:val="00672B8E"/>
    <w:rsid w:val="00672D46"/>
    <w:rsid w:val="0067673B"/>
    <w:rsid w:val="00677703"/>
    <w:rsid w:val="0068471F"/>
    <w:rsid w:val="0069136C"/>
    <w:rsid w:val="00694110"/>
    <w:rsid w:val="006949FB"/>
    <w:rsid w:val="00695A10"/>
    <w:rsid w:val="006A4A70"/>
    <w:rsid w:val="006C4178"/>
    <w:rsid w:val="006C4A74"/>
    <w:rsid w:val="006C4F38"/>
    <w:rsid w:val="006D5278"/>
    <w:rsid w:val="006E1268"/>
    <w:rsid w:val="006F2CEA"/>
    <w:rsid w:val="006F4EFD"/>
    <w:rsid w:val="006F4FA7"/>
    <w:rsid w:val="006F5441"/>
    <w:rsid w:val="006F5633"/>
    <w:rsid w:val="006F5B67"/>
    <w:rsid w:val="006F7052"/>
    <w:rsid w:val="006F75BD"/>
    <w:rsid w:val="006F7B94"/>
    <w:rsid w:val="00714F25"/>
    <w:rsid w:val="00715B31"/>
    <w:rsid w:val="007212C5"/>
    <w:rsid w:val="00735F04"/>
    <w:rsid w:val="00736398"/>
    <w:rsid w:val="00736F0C"/>
    <w:rsid w:val="00741B7A"/>
    <w:rsid w:val="00745390"/>
    <w:rsid w:val="00762BC5"/>
    <w:rsid w:val="00764565"/>
    <w:rsid w:val="0077029A"/>
    <w:rsid w:val="0077168B"/>
    <w:rsid w:val="00776835"/>
    <w:rsid w:val="007770A6"/>
    <w:rsid w:val="00777EB0"/>
    <w:rsid w:val="00780CEC"/>
    <w:rsid w:val="0078427B"/>
    <w:rsid w:val="00786374"/>
    <w:rsid w:val="00792969"/>
    <w:rsid w:val="00794DE0"/>
    <w:rsid w:val="007A095C"/>
    <w:rsid w:val="007A3A26"/>
    <w:rsid w:val="007A4FB1"/>
    <w:rsid w:val="007A580D"/>
    <w:rsid w:val="007A5D21"/>
    <w:rsid w:val="007B28DD"/>
    <w:rsid w:val="007C193C"/>
    <w:rsid w:val="007C2C86"/>
    <w:rsid w:val="007C5F62"/>
    <w:rsid w:val="007C703F"/>
    <w:rsid w:val="007D6639"/>
    <w:rsid w:val="007D76C6"/>
    <w:rsid w:val="007E5C9C"/>
    <w:rsid w:val="007F0804"/>
    <w:rsid w:val="007F3289"/>
    <w:rsid w:val="007F54B1"/>
    <w:rsid w:val="007F7EC0"/>
    <w:rsid w:val="008066D2"/>
    <w:rsid w:val="00815D6E"/>
    <w:rsid w:val="00820450"/>
    <w:rsid w:val="00820D37"/>
    <w:rsid w:val="00821975"/>
    <w:rsid w:val="00830BB9"/>
    <w:rsid w:val="008352CD"/>
    <w:rsid w:val="008428EF"/>
    <w:rsid w:val="00845C78"/>
    <w:rsid w:val="008465D6"/>
    <w:rsid w:val="00850DD4"/>
    <w:rsid w:val="008570FD"/>
    <w:rsid w:val="00857DAB"/>
    <w:rsid w:val="00857E7C"/>
    <w:rsid w:val="00860378"/>
    <w:rsid w:val="00863B70"/>
    <w:rsid w:val="00864B9C"/>
    <w:rsid w:val="00870C62"/>
    <w:rsid w:val="00871ABF"/>
    <w:rsid w:val="00873768"/>
    <w:rsid w:val="00876227"/>
    <w:rsid w:val="00876BB0"/>
    <w:rsid w:val="00884903"/>
    <w:rsid w:val="00894CE1"/>
    <w:rsid w:val="008A112A"/>
    <w:rsid w:val="008A535F"/>
    <w:rsid w:val="008B0E62"/>
    <w:rsid w:val="008B45E3"/>
    <w:rsid w:val="008B67D9"/>
    <w:rsid w:val="008C1D8E"/>
    <w:rsid w:val="008C216F"/>
    <w:rsid w:val="008C794C"/>
    <w:rsid w:val="008D05B1"/>
    <w:rsid w:val="008D3EFD"/>
    <w:rsid w:val="008D53FE"/>
    <w:rsid w:val="008D626C"/>
    <w:rsid w:val="008E27B6"/>
    <w:rsid w:val="008E7B78"/>
    <w:rsid w:val="008F1AF0"/>
    <w:rsid w:val="008F2A22"/>
    <w:rsid w:val="008F3C59"/>
    <w:rsid w:val="009017C7"/>
    <w:rsid w:val="0090361A"/>
    <w:rsid w:val="00905C84"/>
    <w:rsid w:val="009079ED"/>
    <w:rsid w:val="00910165"/>
    <w:rsid w:val="00915F82"/>
    <w:rsid w:val="00933F60"/>
    <w:rsid w:val="00934012"/>
    <w:rsid w:val="0093409A"/>
    <w:rsid w:val="00935B8A"/>
    <w:rsid w:val="009362B5"/>
    <w:rsid w:val="00940AEC"/>
    <w:rsid w:val="009429DC"/>
    <w:rsid w:val="00943232"/>
    <w:rsid w:val="00943C40"/>
    <w:rsid w:val="00952E27"/>
    <w:rsid w:val="009532CA"/>
    <w:rsid w:val="00953E1B"/>
    <w:rsid w:val="009559B2"/>
    <w:rsid w:val="00956655"/>
    <w:rsid w:val="009644FB"/>
    <w:rsid w:val="00964E90"/>
    <w:rsid w:val="0096535B"/>
    <w:rsid w:val="009757B7"/>
    <w:rsid w:val="00983E2A"/>
    <w:rsid w:val="009869C6"/>
    <w:rsid w:val="00986E0E"/>
    <w:rsid w:val="00990610"/>
    <w:rsid w:val="009933DB"/>
    <w:rsid w:val="0099516E"/>
    <w:rsid w:val="009A0C0F"/>
    <w:rsid w:val="009A1B3F"/>
    <w:rsid w:val="009A245F"/>
    <w:rsid w:val="009B04E9"/>
    <w:rsid w:val="009B44FB"/>
    <w:rsid w:val="009B62BF"/>
    <w:rsid w:val="009C15FE"/>
    <w:rsid w:val="009C7238"/>
    <w:rsid w:val="009D05B7"/>
    <w:rsid w:val="009E0A7D"/>
    <w:rsid w:val="009E4F81"/>
    <w:rsid w:val="009E6F40"/>
    <w:rsid w:val="009E7DC4"/>
    <w:rsid w:val="009F2F06"/>
    <w:rsid w:val="00A02040"/>
    <w:rsid w:val="00A024DE"/>
    <w:rsid w:val="00A02C8F"/>
    <w:rsid w:val="00A03B96"/>
    <w:rsid w:val="00A0486E"/>
    <w:rsid w:val="00A11C2E"/>
    <w:rsid w:val="00A16549"/>
    <w:rsid w:val="00A16ACA"/>
    <w:rsid w:val="00A17C90"/>
    <w:rsid w:val="00A21555"/>
    <w:rsid w:val="00A218D3"/>
    <w:rsid w:val="00A25680"/>
    <w:rsid w:val="00A310D3"/>
    <w:rsid w:val="00A31526"/>
    <w:rsid w:val="00A40F5F"/>
    <w:rsid w:val="00A42E8D"/>
    <w:rsid w:val="00A44CF0"/>
    <w:rsid w:val="00A46BB7"/>
    <w:rsid w:val="00A50679"/>
    <w:rsid w:val="00A521C4"/>
    <w:rsid w:val="00A53A10"/>
    <w:rsid w:val="00A54177"/>
    <w:rsid w:val="00A5505B"/>
    <w:rsid w:val="00A55EFC"/>
    <w:rsid w:val="00A61218"/>
    <w:rsid w:val="00A61F56"/>
    <w:rsid w:val="00A63A1C"/>
    <w:rsid w:val="00A64214"/>
    <w:rsid w:val="00A64724"/>
    <w:rsid w:val="00A67D37"/>
    <w:rsid w:val="00A71012"/>
    <w:rsid w:val="00A71815"/>
    <w:rsid w:val="00A7202A"/>
    <w:rsid w:val="00A72725"/>
    <w:rsid w:val="00A734FF"/>
    <w:rsid w:val="00A73CDE"/>
    <w:rsid w:val="00A77107"/>
    <w:rsid w:val="00A775A2"/>
    <w:rsid w:val="00A812BF"/>
    <w:rsid w:val="00A81762"/>
    <w:rsid w:val="00A8181E"/>
    <w:rsid w:val="00A82FD8"/>
    <w:rsid w:val="00A84139"/>
    <w:rsid w:val="00A84F55"/>
    <w:rsid w:val="00A85821"/>
    <w:rsid w:val="00A85B28"/>
    <w:rsid w:val="00A85B70"/>
    <w:rsid w:val="00A87C15"/>
    <w:rsid w:val="00A9305B"/>
    <w:rsid w:val="00A960C8"/>
    <w:rsid w:val="00A97BD9"/>
    <w:rsid w:val="00A97FF0"/>
    <w:rsid w:val="00AA052C"/>
    <w:rsid w:val="00AA0835"/>
    <w:rsid w:val="00AA46CD"/>
    <w:rsid w:val="00AB068B"/>
    <w:rsid w:val="00AB14A9"/>
    <w:rsid w:val="00AB2FD9"/>
    <w:rsid w:val="00AB73E9"/>
    <w:rsid w:val="00AC33E4"/>
    <w:rsid w:val="00AD0915"/>
    <w:rsid w:val="00AE017F"/>
    <w:rsid w:val="00AE12AB"/>
    <w:rsid w:val="00AE28FF"/>
    <w:rsid w:val="00AE2A38"/>
    <w:rsid w:val="00AE674A"/>
    <w:rsid w:val="00AF58BC"/>
    <w:rsid w:val="00AF63AD"/>
    <w:rsid w:val="00B10896"/>
    <w:rsid w:val="00B11452"/>
    <w:rsid w:val="00B2369B"/>
    <w:rsid w:val="00B24F49"/>
    <w:rsid w:val="00B26C08"/>
    <w:rsid w:val="00B30516"/>
    <w:rsid w:val="00B37537"/>
    <w:rsid w:val="00B44B28"/>
    <w:rsid w:val="00B457EE"/>
    <w:rsid w:val="00B46123"/>
    <w:rsid w:val="00B46566"/>
    <w:rsid w:val="00B474BC"/>
    <w:rsid w:val="00B476CE"/>
    <w:rsid w:val="00B50788"/>
    <w:rsid w:val="00B52C46"/>
    <w:rsid w:val="00B57C7F"/>
    <w:rsid w:val="00B60056"/>
    <w:rsid w:val="00B63C8F"/>
    <w:rsid w:val="00B64487"/>
    <w:rsid w:val="00B7554E"/>
    <w:rsid w:val="00B77580"/>
    <w:rsid w:val="00B87A61"/>
    <w:rsid w:val="00B904F6"/>
    <w:rsid w:val="00B9050A"/>
    <w:rsid w:val="00B90A01"/>
    <w:rsid w:val="00B90A3F"/>
    <w:rsid w:val="00B971DF"/>
    <w:rsid w:val="00BA737B"/>
    <w:rsid w:val="00BA7764"/>
    <w:rsid w:val="00BB1159"/>
    <w:rsid w:val="00BC0479"/>
    <w:rsid w:val="00BC4FEF"/>
    <w:rsid w:val="00BD02FF"/>
    <w:rsid w:val="00BD7C01"/>
    <w:rsid w:val="00BE471B"/>
    <w:rsid w:val="00BF0EE6"/>
    <w:rsid w:val="00BF20F1"/>
    <w:rsid w:val="00BF404A"/>
    <w:rsid w:val="00BF5CCC"/>
    <w:rsid w:val="00BF7701"/>
    <w:rsid w:val="00C022B0"/>
    <w:rsid w:val="00C05BD5"/>
    <w:rsid w:val="00C05C79"/>
    <w:rsid w:val="00C06A25"/>
    <w:rsid w:val="00C07B19"/>
    <w:rsid w:val="00C07BD1"/>
    <w:rsid w:val="00C07EB3"/>
    <w:rsid w:val="00C1693E"/>
    <w:rsid w:val="00C21C0A"/>
    <w:rsid w:val="00C21C27"/>
    <w:rsid w:val="00C31649"/>
    <w:rsid w:val="00C424BD"/>
    <w:rsid w:val="00C4467C"/>
    <w:rsid w:val="00C54117"/>
    <w:rsid w:val="00C570FB"/>
    <w:rsid w:val="00C6313B"/>
    <w:rsid w:val="00C65F7C"/>
    <w:rsid w:val="00C70AD7"/>
    <w:rsid w:val="00C71F2F"/>
    <w:rsid w:val="00C732B1"/>
    <w:rsid w:val="00C80818"/>
    <w:rsid w:val="00C823AF"/>
    <w:rsid w:val="00C82D51"/>
    <w:rsid w:val="00C851DD"/>
    <w:rsid w:val="00C954A1"/>
    <w:rsid w:val="00CA07A7"/>
    <w:rsid w:val="00CA7117"/>
    <w:rsid w:val="00CB0DF3"/>
    <w:rsid w:val="00CB3764"/>
    <w:rsid w:val="00CC1DE7"/>
    <w:rsid w:val="00CC200B"/>
    <w:rsid w:val="00CC5B5A"/>
    <w:rsid w:val="00CD1631"/>
    <w:rsid w:val="00CD3D23"/>
    <w:rsid w:val="00CE262C"/>
    <w:rsid w:val="00CE2A2F"/>
    <w:rsid w:val="00CE7970"/>
    <w:rsid w:val="00CF6AFD"/>
    <w:rsid w:val="00D0093D"/>
    <w:rsid w:val="00D02529"/>
    <w:rsid w:val="00D0417F"/>
    <w:rsid w:val="00D07EC4"/>
    <w:rsid w:val="00D1047D"/>
    <w:rsid w:val="00D21EE7"/>
    <w:rsid w:val="00D30430"/>
    <w:rsid w:val="00D36309"/>
    <w:rsid w:val="00D40139"/>
    <w:rsid w:val="00D4168A"/>
    <w:rsid w:val="00D41F49"/>
    <w:rsid w:val="00D4604F"/>
    <w:rsid w:val="00D602F0"/>
    <w:rsid w:val="00D71434"/>
    <w:rsid w:val="00D720D5"/>
    <w:rsid w:val="00D90DF6"/>
    <w:rsid w:val="00D934D2"/>
    <w:rsid w:val="00D94CDC"/>
    <w:rsid w:val="00D96126"/>
    <w:rsid w:val="00D97609"/>
    <w:rsid w:val="00DA28C8"/>
    <w:rsid w:val="00DA3F4F"/>
    <w:rsid w:val="00DB3C7F"/>
    <w:rsid w:val="00DB40F5"/>
    <w:rsid w:val="00DB72C3"/>
    <w:rsid w:val="00DC163A"/>
    <w:rsid w:val="00DC308A"/>
    <w:rsid w:val="00DC31FF"/>
    <w:rsid w:val="00DC39AB"/>
    <w:rsid w:val="00DC525E"/>
    <w:rsid w:val="00DC6035"/>
    <w:rsid w:val="00DC6450"/>
    <w:rsid w:val="00DD03CE"/>
    <w:rsid w:val="00DD637D"/>
    <w:rsid w:val="00DD781E"/>
    <w:rsid w:val="00DE39D7"/>
    <w:rsid w:val="00DE7A32"/>
    <w:rsid w:val="00DF0678"/>
    <w:rsid w:val="00DF14D3"/>
    <w:rsid w:val="00DF4973"/>
    <w:rsid w:val="00DF7E25"/>
    <w:rsid w:val="00E07A7A"/>
    <w:rsid w:val="00E1143D"/>
    <w:rsid w:val="00E1581E"/>
    <w:rsid w:val="00E1651A"/>
    <w:rsid w:val="00E219E7"/>
    <w:rsid w:val="00E22CB6"/>
    <w:rsid w:val="00E25695"/>
    <w:rsid w:val="00E30F3A"/>
    <w:rsid w:val="00E31F02"/>
    <w:rsid w:val="00E402D4"/>
    <w:rsid w:val="00E40A5D"/>
    <w:rsid w:val="00E40E56"/>
    <w:rsid w:val="00E447C0"/>
    <w:rsid w:val="00E46B82"/>
    <w:rsid w:val="00E50110"/>
    <w:rsid w:val="00E53345"/>
    <w:rsid w:val="00E5376F"/>
    <w:rsid w:val="00E53D52"/>
    <w:rsid w:val="00E631B2"/>
    <w:rsid w:val="00E65867"/>
    <w:rsid w:val="00E676EF"/>
    <w:rsid w:val="00E71E2C"/>
    <w:rsid w:val="00E734A0"/>
    <w:rsid w:val="00E748B6"/>
    <w:rsid w:val="00E874E1"/>
    <w:rsid w:val="00E93DB8"/>
    <w:rsid w:val="00EB5062"/>
    <w:rsid w:val="00EB5EAC"/>
    <w:rsid w:val="00EC43DE"/>
    <w:rsid w:val="00ED26FE"/>
    <w:rsid w:val="00ED4DF4"/>
    <w:rsid w:val="00ED5FB7"/>
    <w:rsid w:val="00EE3B1D"/>
    <w:rsid w:val="00EE6B60"/>
    <w:rsid w:val="00EF39F3"/>
    <w:rsid w:val="00EF66B7"/>
    <w:rsid w:val="00F010FD"/>
    <w:rsid w:val="00F0236F"/>
    <w:rsid w:val="00F02CC0"/>
    <w:rsid w:val="00F03225"/>
    <w:rsid w:val="00F053D7"/>
    <w:rsid w:val="00F10EF1"/>
    <w:rsid w:val="00F140E1"/>
    <w:rsid w:val="00F14801"/>
    <w:rsid w:val="00F25B7C"/>
    <w:rsid w:val="00F30A3A"/>
    <w:rsid w:val="00F37027"/>
    <w:rsid w:val="00F42C39"/>
    <w:rsid w:val="00F4663F"/>
    <w:rsid w:val="00F61377"/>
    <w:rsid w:val="00F6233A"/>
    <w:rsid w:val="00F6368F"/>
    <w:rsid w:val="00F64281"/>
    <w:rsid w:val="00F64D17"/>
    <w:rsid w:val="00F67AF0"/>
    <w:rsid w:val="00F74C42"/>
    <w:rsid w:val="00F95337"/>
    <w:rsid w:val="00F95448"/>
    <w:rsid w:val="00FA3070"/>
    <w:rsid w:val="00FA3897"/>
    <w:rsid w:val="00FA3C1F"/>
    <w:rsid w:val="00FA4110"/>
    <w:rsid w:val="00FA4B4A"/>
    <w:rsid w:val="00FA71D7"/>
    <w:rsid w:val="00FB00B0"/>
    <w:rsid w:val="00FB2497"/>
    <w:rsid w:val="00FB33A2"/>
    <w:rsid w:val="00FC5056"/>
    <w:rsid w:val="00FC6B3B"/>
    <w:rsid w:val="00FC7A5D"/>
    <w:rsid w:val="00FD133A"/>
    <w:rsid w:val="00FD595B"/>
    <w:rsid w:val="00FD7334"/>
    <w:rsid w:val="00FD7C87"/>
    <w:rsid w:val="00FE288B"/>
    <w:rsid w:val="00FE28CC"/>
    <w:rsid w:val="00FE2A5E"/>
    <w:rsid w:val="00FE37DC"/>
    <w:rsid w:val="00FE50C9"/>
    <w:rsid w:val="00FE708A"/>
    <w:rsid w:val="00FF00B0"/>
    <w:rsid w:val="00FF0A09"/>
    <w:rsid w:val="00FF2CF5"/>
    <w:rsid w:val="00FF3B86"/>
    <w:rsid w:val="00FF423C"/>
    <w:rsid w:val="00FF4597"/>
    <w:rsid w:val="00FF492D"/>
    <w:rsid w:val="00FF6758"/>
    <w:rsid w:val="01A0521D"/>
    <w:rsid w:val="03C46AFF"/>
    <w:rsid w:val="07EC1FE2"/>
    <w:rsid w:val="0B20046B"/>
    <w:rsid w:val="0D8A4719"/>
    <w:rsid w:val="0EA307FA"/>
    <w:rsid w:val="163725EB"/>
    <w:rsid w:val="16BF731A"/>
    <w:rsid w:val="16D381AA"/>
    <w:rsid w:val="17A2ABF3"/>
    <w:rsid w:val="19A643C8"/>
    <w:rsid w:val="19BB67EE"/>
    <w:rsid w:val="19E1E5B4"/>
    <w:rsid w:val="1A108859"/>
    <w:rsid w:val="1C0938CA"/>
    <w:rsid w:val="1EF92EB3"/>
    <w:rsid w:val="2185816D"/>
    <w:rsid w:val="2439FE06"/>
    <w:rsid w:val="24CDF119"/>
    <w:rsid w:val="24E334AA"/>
    <w:rsid w:val="272DE479"/>
    <w:rsid w:val="28BCDA23"/>
    <w:rsid w:val="2FFB9353"/>
    <w:rsid w:val="30AE4C46"/>
    <w:rsid w:val="3307FF94"/>
    <w:rsid w:val="343453E9"/>
    <w:rsid w:val="347D8D9F"/>
    <w:rsid w:val="35C0E1FD"/>
    <w:rsid w:val="362EAFC0"/>
    <w:rsid w:val="36BAA9F7"/>
    <w:rsid w:val="3799C988"/>
    <w:rsid w:val="39086989"/>
    <w:rsid w:val="3EAEDC2A"/>
    <w:rsid w:val="3F5E9FD9"/>
    <w:rsid w:val="4383B1A5"/>
    <w:rsid w:val="448A822B"/>
    <w:rsid w:val="46CFBB7D"/>
    <w:rsid w:val="48EE726A"/>
    <w:rsid w:val="4A491CD3"/>
    <w:rsid w:val="4A76A40A"/>
    <w:rsid w:val="4CCBE6F7"/>
    <w:rsid w:val="4CCC60BC"/>
    <w:rsid w:val="4D12FAD3"/>
    <w:rsid w:val="4FF8A8D0"/>
    <w:rsid w:val="526889C5"/>
    <w:rsid w:val="52D42B68"/>
    <w:rsid w:val="52D84512"/>
    <w:rsid w:val="52E2E0CE"/>
    <w:rsid w:val="5420C9E8"/>
    <w:rsid w:val="542BBDDB"/>
    <w:rsid w:val="543ACD8D"/>
    <w:rsid w:val="54D779CF"/>
    <w:rsid w:val="56A31E19"/>
    <w:rsid w:val="58A7CA1E"/>
    <w:rsid w:val="5A1DD395"/>
    <w:rsid w:val="5A2B0958"/>
    <w:rsid w:val="5A81173F"/>
    <w:rsid w:val="5AF5FAB8"/>
    <w:rsid w:val="5C903F52"/>
    <w:rsid w:val="5CFF20BB"/>
    <w:rsid w:val="606A2FB0"/>
    <w:rsid w:val="616CB440"/>
    <w:rsid w:val="62442506"/>
    <w:rsid w:val="6311AFD4"/>
    <w:rsid w:val="64D9996C"/>
    <w:rsid w:val="65A72D0A"/>
    <w:rsid w:val="6605FD79"/>
    <w:rsid w:val="66438387"/>
    <w:rsid w:val="68691558"/>
    <w:rsid w:val="6C104E03"/>
    <w:rsid w:val="6C9879DE"/>
    <w:rsid w:val="75D8E470"/>
    <w:rsid w:val="765F99DA"/>
    <w:rsid w:val="7837FB16"/>
    <w:rsid w:val="79D0DD11"/>
    <w:rsid w:val="7ADCBB48"/>
    <w:rsid w:val="7AE37813"/>
    <w:rsid w:val="7D5C9374"/>
    <w:rsid w:val="7F6A1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ADC759"/>
  <w14:defaultImageDpi w14:val="0"/>
  <w15:docId w15:val="{E3427F47-FDE0-4E18-B46A-B2341450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4"/>
        <w:szCs w:val="24"/>
        <w:lang w:val="en-A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2101CF"/>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2101CF"/>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2101CF"/>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2101CF"/>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2101CF"/>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2101CF"/>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2101CF"/>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2101CF"/>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2101CF"/>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1CF"/>
    <w:rPr>
      <w:rFonts w:asciiTheme="majorHAnsi" w:eastAsiaTheme="majorEastAsia" w:hAnsiTheme="majorHAnsi" w:cs="Times New Roman"/>
      <w:color w:val="0F4761" w:themeColor="accent1" w:themeShade="BF"/>
      <w:sz w:val="40"/>
      <w:szCs w:val="40"/>
    </w:rPr>
  </w:style>
  <w:style w:type="character" w:customStyle="1" w:styleId="Heading2Char">
    <w:name w:val="Heading 2 Char"/>
    <w:basedOn w:val="DefaultParagraphFont"/>
    <w:link w:val="Heading2"/>
    <w:uiPriority w:val="9"/>
    <w:semiHidden/>
    <w:rsid w:val="002101CF"/>
    <w:rPr>
      <w:rFonts w:asciiTheme="majorHAnsi" w:eastAsiaTheme="majorEastAsia" w:hAnsiTheme="majorHAnsi" w:cs="Times New Roman"/>
      <w:color w:val="0F4761" w:themeColor="accent1" w:themeShade="BF"/>
      <w:sz w:val="32"/>
      <w:szCs w:val="32"/>
    </w:rPr>
  </w:style>
  <w:style w:type="character" w:customStyle="1" w:styleId="Heading3Char">
    <w:name w:val="Heading 3 Char"/>
    <w:basedOn w:val="DefaultParagraphFont"/>
    <w:link w:val="Heading3"/>
    <w:uiPriority w:val="9"/>
    <w:semiHidden/>
    <w:rsid w:val="002101CF"/>
    <w:rPr>
      <w:rFonts w:eastAsiaTheme="majorEastAsia" w:cs="Times New Roman"/>
      <w:color w:val="0F4761" w:themeColor="accent1" w:themeShade="BF"/>
      <w:sz w:val="28"/>
      <w:szCs w:val="28"/>
    </w:rPr>
  </w:style>
  <w:style w:type="character" w:customStyle="1" w:styleId="Heading4Char">
    <w:name w:val="Heading 4 Char"/>
    <w:basedOn w:val="DefaultParagraphFont"/>
    <w:link w:val="Heading4"/>
    <w:uiPriority w:val="9"/>
    <w:semiHidden/>
    <w:rsid w:val="002101CF"/>
    <w:rPr>
      <w:rFonts w:eastAsiaTheme="majorEastAsia" w:cs="Times New Roman"/>
      <w:i/>
      <w:iCs/>
      <w:color w:val="0F4761" w:themeColor="accent1" w:themeShade="BF"/>
    </w:rPr>
  </w:style>
  <w:style w:type="character" w:customStyle="1" w:styleId="Heading5Char">
    <w:name w:val="Heading 5 Char"/>
    <w:basedOn w:val="DefaultParagraphFont"/>
    <w:link w:val="Heading5"/>
    <w:uiPriority w:val="9"/>
    <w:semiHidden/>
    <w:rsid w:val="002101CF"/>
    <w:rPr>
      <w:rFonts w:eastAsiaTheme="majorEastAsia" w:cs="Times New Roman"/>
      <w:color w:val="0F4761" w:themeColor="accent1" w:themeShade="BF"/>
    </w:rPr>
  </w:style>
  <w:style w:type="character" w:customStyle="1" w:styleId="Heading6Char">
    <w:name w:val="Heading 6 Char"/>
    <w:basedOn w:val="DefaultParagraphFont"/>
    <w:link w:val="Heading6"/>
    <w:uiPriority w:val="9"/>
    <w:semiHidden/>
    <w:rsid w:val="002101CF"/>
    <w:rPr>
      <w:rFonts w:eastAsiaTheme="majorEastAsia" w:cs="Times New Roman"/>
      <w:i/>
      <w:iCs/>
      <w:color w:val="595959" w:themeColor="text1" w:themeTint="A6"/>
    </w:rPr>
  </w:style>
  <w:style w:type="character" w:customStyle="1" w:styleId="Heading7Char">
    <w:name w:val="Heading 7 Char"/>
    <w:basedOn w:val="DefaultParagraphFont"/>
    <w:link w:val="Heading7"/>
    <w:uiPriority w:val="9"/>
    <w:semiHidden/>
    <w:rsid w:val="002101CF"/>
    <w:rPr>
      <w:rFonts w:eastAsiaTheme="majorEastAsia" w:cs="Times New Roman"/>
      <w:color w:val="595959" w:themeColor="text1" w:themeTint="A6"/>
    </w:rPr>
  </w:style>
  <w:style w:type="character" w:customStyle="1" w:styleId="Heading8Char">
    <w:name w:val="Heading 8 Char"/>
    <w:basedOn w:val="DefaultParagraphFont"/>
    <w:link w:val="Heading8"/>
    <w:uiPriority w:val="9"/>
    <w:semiHidden/>
    <w:rsid w:val="002101CF"/>
    <w:rPr>
      <w:rFonts w:eastAsiaTheme="majorEastAsia" w:cs="Times New Roman"/>
      <w:i/>
      <w:iCs/>
      <w:color w:val="272727" w:themeColor="text1" w:themeTint="D8"/>
    </w:rPr>
  </w:style>
  <w:style w:type="character" w:customStyle="1" w:styleId="Heading9Char">
    <w:name w:val="Heading 9 Char"/>
    <w:basedOn w:val="DefaultParagraphFont"/>
    <w:link w:val="Heading9"/>
    <w:uiPriority w:val="9"/>
    <w:semiHidden/>
    <w:rsid w:val="002101CF"/>
    <w:rPr>
      <w:rFonts w:eastAsiaTheme="majorEastAsia" w:cs="Times New Roman"/>
      <w:color w:val="272727" w:themeColor="text1" w:themeTint="D8"/>
    </w:rPr>
  </w:style>
  <w:style w:type="paragraph" w:styleId="Title">
    <w:name w:val="Title"/>
    <w:basedOn w:val="Normal"/>
    <w:next w:val="Normal"/>
    <w:link w:val="TitleChar"/>
    <w:uiPriority w:val="10"/>
    <w:qFormat/>
    <w:rsid w:val="002101CF"/>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2101CF"/>
    <w:rPr>
      <w:rFonts w:asciiTheme="majorHAnsi" w:eastAsiaTheme="majorEastAsia" w:hAnsiTheme="majorHAnsi" w:cs="Times New Roman"/>
      <w:spacing w:val="-10"/>
      <w:kern w:val="28"/>
      <w:sz w:val="56"/>
      <w:szCs w:val="56"/>
    </w:rPr>
  </w:style>
  <w:style w:type="paragraph" w:styleId="Subtitle">
    <w:name w:val="Subtitle"/>
    <w:basedOn w:val="Normal"/>
    <w:next w:val="Normal"/>
    <w:link w:val="SubtitleChar"/>
    <w:uiPriority w:val="11"/>
    <w:qFormat/>
    <w:rsid w:val="002101CF"/>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2101CF"/>
    <w:rPr>
      <w:rFonts w:eastAsiaTheme="majorEastAsia" w:cs="Times New Roman"/>
      <w:color w:val="595959" w:themeColor="text1" w:themeTint="A6"/>
      <w:spacing w:val="15"/>
      <w:sz w:val="28"/>
      <w:szCs w:val="28"/>
    </w:rPr>
  </w:style>
  <w:style w:type="paragraph" w:styleId="Quote">
    <w:name w:val="Quote"/>
    <w:basedOn w:val="Normal"/>
    <w:next w:val="Normal"/>
    <w:link w:val="QuoteChar"/>
    <w:uiPriority w:val="29"/>
    <w:qFormat/>
    <w:rsid w:val="002101CF"/>
    <w:pPr>
      <w:spacing w:before="160"/>
      <w:jc w:val="center"/>
    </w:pPr>
    <w:rPr>
      <w:i/>
      <w:iCs/>
      <w:color w:val="404040" w:themeColor="text1" w:themeTint="BF"/>
    </w:rPr>
  </w:style>
  <w:style w:type="character" w:customStyle="1" w:styleId="QuoteChar">
    <w:name w:val="Quote Char"/>
    <w:basedOn w:val="DefaultParagraphFont"/>
    <w:link w:val="Quote"/>
    <w:uiPriority w:val="29"/>
    <w:rsid w:val="002101CF"/>
    <w:rPr>
      <w:rFonts w:cs="Times New Roman"/>
      <w:i/>
      <w:iCs/>
      <w:color w:val="404040" w:themeColor="text1" w:themeTint="BF"/>
    </w:rPr>
  </w:style>
  <w:style w:type="paragraph" w:styleId="ListParagraph">
    <w:name w:val="List Paragraph"/>
    <w:basedOn w:val="Normal"/>
    <w:uiPriority w:val="34"/>
    <w:qFormat/>
    <w:rsid w:val="002101CF"/>
    <w:pPr>
      <w:ind w:left="720"/>
      <w:contextualSpacing/>
    </w:pPr>
  </w:style>
  <w:style w:type="character" w:styleId="IntenseEmphasis">
    <w:name w:val="Intense Emphasis"/>
    <w:basedOn w:val="DefaultParagraphFont"/>
    <w:uiPriority w:val="21"/>
    <w:qFormat/>
    <w:rsid w:val="002101CF"/>
    <w:rPr>
      <w:rFonts w:cs="Times New Roman"/>
      <w:i/>
      <w:iCs/>
      <w:color w:val="0F4761" w:themeColor="accent1" w:themeShade="BF"/>
    </w:rPr>
  </w:style>
  <w:style w:type="paragraph" w:styleId="IntenseQuote">
    <w:name w:val="Intense Quote"/>
    <w:basedOn w:val="Normal"/>
    <w:next w:val="Normal"/>
    <w:link w:val="IntenseQuoteChar"/>
    <w:uiPriority w:val="30"/>
    <w:qFormat/>
    <w:rsid w:val="00210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1CF"/>
    <w:rPr>
      <w:rFonts w:cs="Times New Roman"/>
      <w:i/>
      <w:iCs/>
      <w:color w:val="0F4761" w:themeColor="accent1" w:themeShade="BF"/>
    </w:rPr>
  </w:style>
  <w:style w:type="character" w:styleId="IntenseReference">
    <w:name w:val="Intense Reference"/>
    <w:basedOn w:val="DefaultParagraphFont"/>
    <w:uiPriority w:val="32"/>
    <w:qFormat/>
    <w:rsid w:val="002101CF"/>
    <w:rPr>
      <w:rFonts w:cs="Times New Roman"/>
      <w:b/>
      <w:bCs/>
      <w:smallCaps/>
      <w:color w:val="0F4761" w:themeColor="accent1" w:themeShade="BF"/>
      <w:spacing w:val="5"/>
    </w:rPr>
  </w:style>
  <w:style w:type="paragraph" w:styleId="Header">
    <w:name w:val="header"/>
    <w:basedOn w:val="Normal"/>
    <w:link w:val="HeaderChar"/>
    <w:uiPriority w:val="99"/>
    <w:unhideWhenUsed/>
    <w:rsid w:val="00210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1CF"/>
    <w:rPr>
      <w:rFonts w:cs="Times New Roman"/>
    </w:rPr>
  </w:style>
  <w:style w:type="paragraph" w:styleId="Footer">
    <w:name w:val="footer"/>
    <w:basedOn w:val="Normal"/>
    <w:link w:val="FooterChar"/>
    <w:uiPriority w:val="99"/>
    <w:unhideWhenUsed/>
    <w:rsid w:val="00210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1CF"/>
    <w:rPr>
      <w:rFonts w:cs="Times New Roman"/>
    </w:rPr>
  </w:style>
  <w:style w:type="character" w:styleId="Hyperlink">
    <w:name w:val="Hyperlink"/>
    <w:basedOn w:val="DefaultParagraphFont"/>
    <w:uiPriority w:val="99"/>
    <w:unhideWhenUsed/>
    <w:rsid w:val="002101CF"/>
    <w:rPr>
      <w:rFonts w:cs="Times New Roman"/>
      <w:color w:val="467886" w:themeColor="hyperlink"/>
      <w:u w:val="single"/>
    </w:rPr>
  </w:style>
  <w:style w:type="character" w:styleId="UnresolvedMention">
    <w:name w:val="Unresolved Mention"/>
    <w:basedOn w:val="DefaultParagraphFont"/>
    <w:uiPriority w:val="99"/>
    <w:semiHidden/>
    <w:unhideWhenUsed/>
    <w:rsid w:val="002101CF"/>
    <w:rPr>
      <w:rFonts w:cs="Times New Roman"/>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CommentReference">
    <w:name w:val="annotation reference"/>
    <w:basedOn w:val="DefaultParagraphFont"/>
    <w:uiPriority w:val="99"/>
    <w:semiHidden/>
    <w:unhideWhenUsed/>
    <w:rPr>
      <w:rFonts w:cs="Times New Roman"/>
      <w:sz w:val="16"/>
      <w:szCs w:val="16"/>
    </w:rPr>
  </w:style>
  <w:style w:type="paragraph" w:styleId="Revision">
    <w:name w:val="Revision"/>
    <w:hidden/>
    <w:uiPriority w:val="99"/>
    <w:semiHidden/>
    <w:rsid w:val="00857DAB"/>
    <w:pPr>
      <w:spacing w:after="0" w:line="240" w:lineRule="auto"/>
    </w:pPr>
    <w:rPr>
      <w:rFonts w:cs="Times New Roman"/>
    </w:rPr>
  </w:style>
  <w:style w:type="character" w:styleId="FollowedHyperlink">
    <w:name w:val="FollowedHyperlink"/>
    <w:basedOn w:val="DefaultParagraphFont"/>
    <w:uiPriority w:val="99"/>
    <w:semiHidden/>
    <w:unhideWhenUsed/>
    <w:rsid w:val="00DC6450"/>
    <w:rPr>
      <w:rFonts w:cs="Times New Roman"/>
      <w:color w:val="96607D" w:themeColor="followedHyperlink"/>
      <w:u w:val="single"/>
    </w:rPr>
  </w:style>
  <w:style w:type="character" w:styleId="PageNumber">
    <w:name w:val="page number"/>
    <w:basedOn w:val="DefaultParagraphFont"/>
    <w:uiPriority w:val="99"/>
    <w:semiHidden/>
    <w:unhideWhenUsed/>
    <w:rsid w:val="00C06A25"/>
    <w:rPr>
      <w:rFonts w:cs="Times New Roman"/>
    </w:rPr>
  </w:style>
  <w:style w:type="paragraph" w:styleId="FootnoteText">
    <w:name w:val="footnote text"/>
    <w:basedOn w:val="Normal"/>
    <w:link w:val="FootnoteTextChar"/>
    <w:uiPriority w:val="99"/>
    <w:semiHidden/>
    <w:unhideWhenUsed/>
    <w:rsid w:val="00546520"/>
    <w:pPr>
      <w:spacing w:after="0" w:line="240" w:lineRule="auto"/>
    </w:pPr>
    <w:rPr>
      <w:rFonts w:eastAsiaTheme="minorEastAsia"/>
      <w:kern w:val="0"/>
      <w:sz w:val="20"/>
      <w:szCs w:val="20"/>
      <w:lang w:val="en-US" w:eastAsia="ja-JP"/>
    </w:rPr>
  </w:style>
  <w:style w:type="character" w:customStyle="1" w:styleId="FootnoteTextChar">
    <w:name w:val="Footnote Text Char"/>
    <w:basedOn w:val="DefaultParagraphFont"/>
    <w:link w:val="FootnoteText"/>
    <w:uiPriority w:val="99"/>
    <w:semiHidden/>
    <w:rsid w:val="00546520"/>
    <w:rPr>
      <w:rFonts w:eastAsiaTheme="minorEastAsia" w:cs="Times New Roman"/>
      <w:kern w:val="0"/>
      <w:sz w:val="20"/>
      <w:szCs w:val="20"/>
      <w:lang w:val="en-US" w:eastAsia="ja-JP"/>
    </w:rPr>
  </w:style>
  <w:style w:type="character" w:styleId="FootnoteReference">
    <w:name w:val="footnote reference"/>
    <w:basedOn w:val="DefaultParagraphFont"/>
    <w:uiPriority w:val="99"/>
    <w:semiHidden/>
    <w:unhideWhenUsed/>
    <w:rsid w:val="0054652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413998">
      <w:marLeft w:val="0"/>
      <w:marRight w:val="0"/>
      <w:marTop w:val="0"/>
      <w:marBottom w:val="0"/>
      <w:divBdr>
        <w:top w:val="none" w:sz="0" w:space="0" w:color="auto"/>
        <w:left w:val="none" w:sz="0" w:space="0" w:color="auto"/>
        <w:bottom w:val="none" w:sz="0" w:space="0" w:color="auto"/>
        <w:right w:val="none" w:sz="0" w:space="0" w:color="auto"/>
      </w:divBdr>
    </w:div>
    <w:div w:id="2086413999">
      <w:marLeft w:val="0"/>
      <w:marRight w:val="0"/>
      <w:marTop w:val="0"/>
      <w:marBottom w:val="0"/>
      <w:divBdr>
        <w:top w:val="none" w:sz="0" w:space="0" w:color="auto"/>
        <w:left w:val="none" w:sz="0" w:space="0" w:color="auto"/>
        <w:bottom w:val="none" w:sz="0" w:space="0" w:color="auto"/>
        <w:right w:val="none" w:sz="0" w:space="0" w:color="auto"/>
      </w:divBdr>
    </w:div>
    <w:div w:id="2086414000">
      <w:marLeft w:val="0"/>
      <w:marRight w:val="0"/>
      <w:marTop w:val="0"/>
      <w:marBottom w:val="0"/>
      <w:divBdr>
        <w:top w:val="none" w:sz="0" w:space="0" w:color="auto"/>
        <w:left w:val="none" w:sz="0" w:space="0" w:color="auto"/>
        <w:bottom w:val="none" w:sz="0" w:space="0" w:color="auto"/>
        <w:right w:val="none" w:sz="0" w:space="0" w:color="auto"/>
      </w:divBdr>
    </w:div>
    <w:div w:id="2086414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t.gov.au/wellbeing/explore-overall-wellbeing/health/access-to-health-services" TargetMode="External"/><Relationship Id="rId18" Type="http://schemas.openxmlformats.org/officeDocument/2006/relationships/hyperlink" Target="https://www.aihw.gov.au/mental-health/overview/prevalence-and-impact-of-mental-illness" TargetMode="External"/><Relationship Id="rId26" Type="http://schemas.openxmlformats.org/officeDocument/2006/relationships/hyperlink" Target="https://www.mhfa.com.au/women-and-mental-health-across-the-lifespan/" TargetMode="External"/><Relationship Id="rId3" Type="http://schemas.openxmlformats.org/officeDocument/2006/relationships/customXml" Target="../customXml/item3.xml"/><Relationship Id="rId21" Type="http://schemas.openxmlformats.org/officeDocument/2006/relationships/hyperlink" Target="https://anrows-2019.s3.ap-southeast-2.amazonaws.com/wp-content/uploads/2020/07/23094405/VAW-MH-Synthesis-ANROWS-Insights.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ommunityservices.act.gov.au/__data/assets/pdf_file/0004/2838001/Mental-Health-Commissioning-Strategic-Investment-Plan-Draft.pdf" TargetMode="External"/><Relationship Id="rId17" Type="http://schemas.openxmlformats.org/officeDocument/2006/relationships/hyperlink" Target="https://federalfinancialrelations.gov.au/sites/federalfinancialrelations.gov.au/files/2022-04/nmh_sp_bilateral_agreement_act.pdf" TargetMode="External"/><Relationship Id="rId25" Type="http://schemas.openxmlformats.org/officeDocument/2006/relationships/header" Target="header3.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health.gov.au/sites/default/files/documents/2021/05/national-women-s-health-strategy-2020-2030_0.pdf" TargetMode="External"/><Relationship Id="rId20" Type="http://schemas.openxmlformats.org/officeDocument/2006/relationships/hyperlink" Target="https://www.aihw.gov.au/getmedia/61a653c5-d991-44fb-a334-4df7c453225f/australian-burden-of-disease-study-2023.pdf" TargetMode="External"/><Relationship Id="rId29" Type="http://schemas.openxmlformats.org/officeDocument/2006/relationships/hyperlink" Target="https://aifs.gov.au/sites/default/files/2022-10/2020_ttm_insights_report_chapter_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womenshealtmatters.org.au" TargetMode="External"/><Relationship Id="rId24" Type="http://schemas.openxmlformats.org/officeDocument/2006/relationships/header" Target="header2.xml"/><Relationship Id="rId32" Type="http://schemas.openxmlformats.org/officeDocument/2006/relationships/hyperlink" Target="https://www.womenshealthmatters.org.au/wp-content/uploads/2023/07/Report-on-ACT-Survey-of-Womens-Health.pdf" TargetMode="External"/><Relationship Id="rId5" Type="http://schemas.openxmlformats.org/officeDocument/2006/relationships/numbering" Target="numbering.xml"/><Relationship Id="rId15" Type="http://schemas.openxmlformats.org/officeDocument/2006/relationships/hyperlink" Target="https://www.act.gov.au/__data/assets/pdf_file/0004/2380927/ACT-Womens-Plan-2012-2026.pdf" TargetMode="External"/><Relationship Id="rId23" Type="http://schemas.openxmlformats.org/officeDocument/2006/relationships/header" Target="header1.xml"/><Relationship Id="rId28" Type="http://schemas.openxmlformats.org/officeDocument/2006/relationships/hyperlink" Target="https://mentalhealth.bmj.com/content/ebmental/28/1/e301277.full.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ihw.gov.au/getmedia/1977b98f-ac4e-4097-9393-33fd89ef104e/the-health-of-australia-s-females.pdf" TargetMode="External"/><Relationship Id="rId31" Type="http://schemas.openxmlformats.org/officeDocument/2006/relationships/hyperlink" Target="https://anrows-2019.s3.ap-southeast-2.amazonaws.com/wp-content/uploads/2019/01/19025309/28-10-16-BOD-Compas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t.gov.au/directorates-and-agencies/act-health/data-statistics-and-surveys/healthstats-act/epidemiology-publications/2022-act-general-health-survey-statistical-report" TargetMode="External"/><Relationship Id="rId22" Type="http://schemas.openxmlformats.org/officeDocument/2006/relationships/hyperlink" Target="https://anrows-2019.s3.ap-southeast-2.amazonaws.com/wp-content/uploads/2019/02/19024846/160324_1.7-Burden-of-Disease-FINAL_0.pdf" TargetMode="External"/><Relationship Id="rId27" Type="http://schemas.openxmlformats.org/officeDocument/2006/relationships/hyperlink" Target="https://www.mentalhealthcommission.gov.au/news-media/news/international-womens-day-snapshot-womens-mental-health-and-wellbeing-australia" TargetMode="External"/><Relationship Id="rId30" Type="http://schemas.openxmlformats.org/officeDocument/2006/relationships/hyperlink" Target="https://alswh.org.au/wp-content/uploads/2022/09/ANROWS-Report-Life-course-approach-to-sexual-violence-prevalence-and-impact.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mentalhealth.bmj.com/content/ebmental/28/1/e301277.full.pdf" TargetMode="External"/><Relationship Id="rId13" Type="http://schemas.openxmlformats.org/officeDocument/2006/relationships/hyperlink" Target="https://www.mhfa.com.au/women-and-mental-health-across-the-lifespan/" TargetMode="External"/><Relationship Id="rId18" Type="http://schemas.openxmlformats.org/officeDocument/2006/relationships/hyperlink" Target="https://www.womenshealthmatters.org.au/womens-health-wellbeing/surveyofwomenshealth/" TargetMode="External"/><Relationship Id="rId3" Type="http://schemas.openxmlformats.org/officeDocument/2006/relationships/hyperlink" Target="https://federalfinancialrelations.gov.au/sites/federalfinancialrelations.gov.au/files/2022-04/nmh_sp_bilateral_agreement_act.pdf" TargetMode="External"/><Relationship Id="rId7" Type="http://schemas.openxmlformats.org/officeDocument/2006/relationships/hyperlink" Target="https://www.act.gov.au/wellbeing/explore-overall-wellbeing/health/access-to-health-services" TargetMode="External"/><Relationship Id="rId12" Type="http://schemas.openxmlformats.org/officeDocument/2006/relationships/hyperlink" Target="https://www.mentalhealthcommission.gov.au/news-media/news/international-womens-day-snapshot-womens-mental-health-and-wellbeing-australia" TargetMode="External"/><Relationship Id="rId17" Type="http://schemas.openxmlformats.org/officeDocument/2006/relationships/hyperlink" Target="https://alswh.org.au/wp-content/uploads/2022/09/ANROWS-Report-Life-course-approach-to-sexual-violence-prevalence-and-impact.pdf" TargetMode="External"/><Relationship Id="rId2" Type="http://schemas.openxmlformats.org/officeDocument/2006/relationships/hyperlink" Target="https://www.health.gov.au/sites/default/files/documents/2021/05/national-women-s-health-strategy-2020-2030_0.pdf" TargetMode="External"/><Relationship Id="rId16" Type="http://schemas.openxmlformats.org/officeDocument/2006/relationships/hyperlink" Target="https://anrows-2019.s3.ap-southeast-2.amazonaws.com/wp-content/uploads/2020/07/23094405/VAW-MH-Synthesis-ANROWS-Insights.pdf" TargetMode="External"/><Relationship Id="rId1" Type="http://schemas.openxmlformats.org/officeDocument/2006/relationships/hyperlink" Target="https://www.communityservices.act.gov.au/__data/assets/pdf_file/0004/2838001/Mental-Health-Commissioning-Strategic-Investment-Plan-Draft.pdf" TargetMode="External"/><Relationship Id="rId6" Type="http://schemas.openxmlformats.org/officeDocument/2006/relationships/hyperlink" Target="https://www.act.gov.au/directorates-and-agencies/act-health/data-statistics-and-surveys/healthstats-act/epidemiology-publications/2022-act-general-health-survey-statistical-report" TargetMode="External"/><Relationship Id="rId11" Type="http://schemas.openxmlformats.org/officeDocument/2006/relationships/hyperlink" Target="https://www.aihw.gov.au/mental-health/overview/prevalence-and-impact-of-mental-illness" TargetMode="External"/><Relationship Id="rId5" Type="http://schemas.openxmlformats.org/officeDocument/2006/relationships/hyperlink" Target="https://www.aihw.gov.au/getmedia/1977b98f-ac4e-4097-9393-33fd89ef104e/the-health-of-australia-s-females.pdf" TargetMode="External"/><Relationship Id="rId15" Type="http://schemas.openxmlformats.org/officeDocument/2006/relationships/hyperlink" Target="https://anrows-2019.s3.ap-southeast-2.amazonaws.com/wp-content/uploads/2019/02/19024846/160324_1.7-Burden-of-Disease-FINAL_0.pdf" TargetMode="External"/><Relationship Id="rId10" Type="http://schemas.openxmlformats.org/officeDocument/2006/relationships/hyperlink" Target="https://aifs.gov.au/sites/default/files/2022-10/2020_ttm_insights_report_chapter_1.pdf" TargetMode="External"/><Relationship Id="rId19" Type="http://schemas.openxmlformats.org/officeDocument/2006/relationships/hyperlink" Target="https://www.womenshealthmatters.org.au/wp-content/uploads/2023/07/Report-on-ACT-Survey-of-Womens-Health.pdf" TargetMode="External"/><Relationship Id="rId4" Type="http://schemas.openxmlformats.org/officeDocument/2006/relationships/hyperlink" Target="https://www.act.gov.au/__data/assets/pdf_file/0004/2380927/ACT-Womens-Plan-2012-2026.pdf" TargetMode="External"/><Relationship Id="rId9" Type="http://schemas.openxmlformats.org/officeDocument/2006/relationships/hyperlink" Target="https://www.aihw.gov.au/getmedia/61a653c5-d991-44fb-a334-4df7c453225f/australian-burden-of-disease-study-2023.pdf" TargetMode="External"/><Relationship Id="rId14" Type="http://schemas.openxmlformats.org/officeDocument/2006/relationships/hyperlink" Target="https://anrows-2019.s3.ap-southeast-2.amazonaws.com/wp-content/uploads/2019/01/19025309/28-10-16-BOD-Compas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D6D05570B8714ABEDD1FBBEAE803E2" ma:contentTypeVersion="18" ma:contentTypeDescription="Create a new document." ma:contentTypeScope="" ma:versionID="4fa5849b6dbc745c16d13efb208101c9">
  <xsd:schema xmlns:xsd="http://www.w3.org/2001/XMLSchema" xmlns:xs="http://www.w3.org/2001/XMLSchema" xmlns:p="http://schemas.microsoft.com/office/2006/metadata/properties" xmlns:ns2="5c4c3042-aa05-41f2-8a61-690c66955e49" xmlns:ns3="49853ecd-e5cd-4788-82ce-5932e5d2d24d" targetNamespace="http://schemas.microsoft.com/office/2006/metadata/properties" ma:root="true" ma:fieldsID="e1b1c955c94795e542895d540d2858bf" ns2:_="" ns3:_="">
    <xsd:import namespace="5c4c3042-aa05-41f2-8a61-690c66955e49"/>
    <xsd:import namespace="49853ecd-e5cd-4788-82ce-5932e5d2d2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c3042-aa05-41f2-8a61-690c66955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ee885c-4cc6-49cf-8d0a-f04a6f2ac7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53ecd-e5cd-4788-82ce-5932e5d2d2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41d72a-1ae4-48d8-a7da-b828415fdce6}" ma:internalName="TaxCatchAll" ma:showField="CatchAllData" ma:web="49853ecd-e5cd-4788-82ce-5932e5d2d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4c3042-aa05-41f2-8a61-690c66955e49">
      <Terms xmlns="http://schemas.microsoft.com/office/infopath/2007/PartnerControls"/>
    </lcf76f155ced4ddcb4097134ff3c332f>
    <TaxCatchAll xmlns="49853ecd-e5cd-4788-82ce-5932e5d2d24d"/>
  </documentManagement>
</p:properties>
</file>

<file path=customXml/itemProps1.xml><?xml version="1.0" encoding="utf-8"?>
<ds:datastoreItem xmlns:ds="http://schemas.openxmlformats.org/officeDocument/2006/customXml" ds:itemID="{874D896F-9FD7-4FB1-A5F2-54C0032C29E6}">
  <ds:schemaRefs>
    <ds:schemaRef ds:uri="http://schemas.openxmlformats.org/officeDocument/2006/bibliography"/>
  </ds:schemaRefs>
</ds:datastoreItem>
</file>

<file path=customXml/itemProps2.xml><?xml version="1.0" encoding="utf-8"?>
<ds:datastoreItem xmlns:ds="http://schemas.openxmlformats.org/officeDocument/2006/customXml" ds:itemID="{E2D5A103-8FF3-4E87-8775-45C6AA35CF1C}">
  <ds:schemaRefs>
    <ds:schemaRef ds:uri="http://schemas.microsoft.com/sharepoint/v3/contenttype/forms"/>
  </ds:schemaRefs>
</ds:datastoreItem>
</file>

<file path=customXml/itemProps3.xml><?xml version="1.0" encoding="utf-8"?>
<ds:datastoreItem xmlns:ds="http://schemas.openxmlformats.org/officeDocument/2006/customXml" ds:itemID="{A3FEEF85-5532-492D-BBE8-55CF08B7F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c3042-aa05-41f2-8a61-690c66955e49"/>
    <ds:schemaRef ds:uri="49853ecd-e5cd-4788-82ce-5932e5d2d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5CECC-470C-4D7C-99BE-11DDD12FC66E}">
  <ds:schemaRefs>
    <ds:schemaRef ds:uri="http://schemas.microsoft.com/office/2006/metadata/properties"/>
    <ds:schemaRef ds:uri="http://schemas.microsoft.com/office/infopath/2007/PartnerControls"/>
    <ds:schemaRef ds:uri="5c4c3042-aa05-41f2-8a61-690c66955e49"/>
    <ds:schemaRef ds:uri="49853ecd-e5cd-4788-82ce-5932e5d2d24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5411</Words>
  <Characters>30846</Characters>
  <Application>Microsoft Office Word</Application>
  <DocSecurity>0</DocSecurity>
  <Lines>257</Lines>
  <Paragraphs>72</Paragraphs>
  <ScaleCrop>false</ScaleCrop>
  <Company/>
  <LinksUpToDate>false</LinksUpToDate>
  <CharactersWithSpaces>36185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Biggerstaff</dc:creator>
  <cp:keywords/>
  <dc:description/>
  <cp:lastModifiedBy>Sarah Biggerstaff</cp:lastModifiedBy>
  <cp:revision>2</cp:revision>
  <cp:lastPrinted>2025-06-20T04:04:00Z</cp:lastPrinted>
  <dcterms:created xsi:type="dcterms:W3CDTF">2025-06-22T23:43:00Z</dcterms:created>
  <dcterms:modified xsi:type="dcterms:W3CDTF">2025-06-22T23:43:00Z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0x010100ECD6D05570B8714ABEDD1FBBEAE803E2</vt:lpwstr>
  </property>
  <property fmtid="{D5CDD505-2E9C-101B-9397-08002B2CF9AE}" pid="3" name="MediaServiceImageTags">
    <vt:lpwstr/>
  </property>
</Properties>
</file>